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9"/>
        <w:gridCol w:w="2268"/>
        <w:gridCol w:w="3969"/>
        <w:gridCol w:w="1672"/>
        <w:gridCol w:w="29"/>
      </w:tblGrid>
      <w:tr w:rsidR="00B24AC7" w:rsidRPr="00B24AC7" w:rsidTr="001227BE">
        <w:trPr>
          <w:gridBefore w:val="1"/>
          <w:wBefore w:w="30" w:type="dxa"/>
          <w:cantSplit/>
          <w:trHeight w:val="639"/>
        </w:trPr>
        <w:tc>
          <w:tcPr>
            <w:tcW w:w="1559" w:type="dxa"/>
          </w:tcPr>
          <w:p w:rsidR="001227BE" w:rsidRPr="00B24AC7" w:rsidRDefault="001227BE" w:rsidP="000F5860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</w:tcPr>
          <w:p w:rsidR="001227BE" w:rsidRDefault="001227BE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427FB" w:rsidRPr="00B24AC7" w:rsidRDefault="000427FB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П16-03 к СНБ 5.01.01-99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</w:tcPr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1227BE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насыпи и обратные засыпки</w:t>
            </w:r>
            <w:r w:rsidR="004420CB">
              <w:rPr>
                <w:bCs/>
                <w:iCs/>
                <w:sz w:val="19"/>
                <w:szCs w:val="19"/>
              </w:rPr>
              <w:t>;</w:t>
            </w:r>
          </w:p>
          <w:p w:rsidR="004420CB" w:rsidRPr="00B24AC7" w:rsidRDefault="004420CB" w:rsidP="00FF05E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  <w:gridSpan w:val="2"/>
          </w:tcPr>
          <w:p w:rsidR="001227BE" w:rsidRDefault="001227BE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B24AC7">
              <w:rPr>
                <w:bCs/>
                <w:iCs/>
                <w:spacing w:val="-6"/>
                <w:sz w:val="19"/>
                <w:szCs w:val="19"/>
              </w:rPr>
              <w:t xml:space="preserve">ГОСТ 26433.0-85 </w:t>
            </w:r>
            <w:r w:rsidRPr="00B24AC7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  <w:p w:rsidR="003572E5" w:rsidRPr="00B24AC7" w:rsidRDefault="003572E5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B24AC7" w:rsidRPr="00B24AC7" w:rsidTr="00FF05E5">
        <w:trPr>
          <w:gridBefore w:val="1"/>
          <w:wBefore w:w="30" w:type="dxa"/>
          <w:cantSplit/>
          <w:trHeight w:val="607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0427FB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427FB" w:rsidRPr="00B24AC7" w:rsidRDefault="001227BE" w:rsidP="000427F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 w:rsidR="000427FB">
              <w:rPr>
                <w:bCs/>
                <w:iCs/>
                <w:spacing w:val="-4"/>
                <w:sz w:val="19"/>
                <w:szCs w:val="19"/>
              </w:rPr>
              <w:t>П16-03 к СНБ 5.01.01-99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0427FB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на основаниях из естественных грунтов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1164.1-2009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="00504381"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1959-2009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1958-2009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8F1B7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B24AC7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1991-2009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1992-2009</w:t>
            </w:r>
          </w:p>
          <w:p w:rsidR="000427FB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СТБ2040-2010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427FB" w:rsidRPr="00B24AC7" w:rsidTr="000427F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253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27FB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7FB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ТКП 45-3.02-114-2009</w:t>
            </w:r>
          </w:p>
          <w:p w:rsidR="000427FB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МТБ 2031-2010</w:t>
            </w:r>
          </w:p>
          <w:p w:rsidR="000427FB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7FB" w:rsidRPr="00B24AC7" w:rsidRDefault="000427FB" w:rsidP="000427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FB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2032-2010</w:t>
            </w:r>
          </w:p>
          <w:p w:rsidR="000427FB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427FB" w:rsidRPr="00B24AC7" w:rsidTr="000427F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252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0427FB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7FB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7FB" w:rsidRPr="00B24AC7" w:rsidRDefault="000427FB" w:rsidP="000427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0427FB" w:rsidRPr="00B24AC7" w:rsidRDefault="000427FB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FB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СТБ2088-2010</w:t>
            </w:r>
          </w:p>
        </w:tc>
      </w:tr>
      <w:tr w:rsidR="000427FB" w:rsidRPr="00B24AC7" w:rsidTr="000427F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252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0427FB" w:rsidRPr="00B24AC7" w:rsidRDefault="000427F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7FB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7FB" w:rsidRPr="00B24AC7" w:rsidRDefault="000427FB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0427FB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2034-2010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504381" w:rsidRPr="00B24AC7" w:rsidRDefault="000427FB" w:rsidP="001227B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0427FB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1473-2004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C84CC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24AC7" w:rsidRDefault="007D43E4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0427FB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СТБ 1483-2004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0427FB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СТБ 1483-2004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B24AC7" w:rsidRPr="00B24AC7" w:rsidTr="00B24AC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442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23797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B24AC7" w:rsidRPr="00B24AC7" w:rsidTr="00C52B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60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C7" w:rsidRPr="004906A9" w:rsidRDefault="00EB5889" w:rsidP="00B24A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B24AC7" w:rsidRPr="00A74274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77" w:rsidRDefault="00FB5377">
      <w:r>
        <w:separator/>
      </w:r>
    </w:p>
  </w:endnote>
  <w:endnote w:type="continuationSeparator" w:id="0">
    <w:p w:rsidR="00FB5377" w:rsidRDefault="00FB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77" w:rsidRDefault="00FB5377">
      <w:r>
        <w:separator/>
      </w:r>
    </w:p>
  </w:footnote>
  <w:footnote w:type="continuationSeparator" w:id="0">
    <w:p w:rsidR="00FB5377" w:rsidRDefault="00FB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C4137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4137B">
            <w:rPr>
              <w:sz w:val="24"/>
            </w:rPr>
            <w:t>6585-2020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C4137B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C4137B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FB5377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B537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C4137B">
            <w:rPr>
              <w:b/>
              <w:sz w:val="24"/>
              <w:szCs w:val="24"/>
              <w:u w:val="single"/>
            </w:rPr>
            <w:t>АнвэлИнжиниринг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427FB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1358A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B5377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5C707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0FA5BA-6AB1-4D57-BE1C-AEB49215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2026-06-13T17:52:00Z</dcterms:created>
  <dcterms:modified xsi:type="dcterms:W3CDTF">2026-06-13T17:52:00Z</dcterms:modified>
</cp:coreProperties>
</file>