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C42C7" w:rsidRPr="002F43B4" w:rsidRDefault="00AC42C7" w:rsidP="00AC42C7">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p w:rsidR="00AC42C7" w:rsidRPr="002F43B4" w:rsidRDefault="00AC42C7" w:rsidP="00A833BE">
            <w:pPr>
              <w:spacing w:line="60" w:lineRule="atLeast"/>
              <w:jc w:val="both"/>
              <w:rPr>
                <w:rFonts w:ascii="ArialMT" w:hAnsi="ArialMT" w:cs="ArialMT"/>
                <w:sz w:val="16"/>
                <w:szCs w:val="16"/>
              </w:rPr>
            </w:pPr>
            <w:r>
              <w:rPr>
                <w:rFonts w:ascii="ArialMT" w:hAnsi="ArialMT" w:cs="ArialMT"/>
                <w:sz w:val="16"/>
                <w:szCs w:val="16"/>
              </w:rPr>
              <w:t>Фундаменты на основаниях из естественных грунтов</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AC42C7">
            <w:pPr>
              <w:spacing w:line="60" w:lineRule="atLeast"/>
              <w:jc w:val="both"/>
              <w:rPr>
                <w:rFonts w:ascii="ArialMT" w:hAnsi="ArialMT" w:cs="ArialMT"/>
                <w:sz w:val="16"/>
                <w:szCs w:val="16"/>
              </w:rPr>
            </w:pPr>
            <w:r>
              <w:rPr>
                <w:rFonts w:ascii="ArialMT" w:hAnsi="ArialMT" w:cs="ArialMT"/>
                <w:sz w:val="16"/>
                <w:szCs w:val="16"/>
              </w:rPr>
              <w:t>Стены из мелких блоков</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722A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746887" w:rsidRPr="00CC190F" w:rsidRDefault="00746887" w:rsidP="009B7D68">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sidR="00FD2C1E">
              <w:rPr>
                <w:rFonts w:ascii="ArialMT" w:hAnsi="ArialMT" w:cs="ArialMT"/>
                <w:sz w:val="16"/>
                <w:szCs w:val="16"/>
              </w:rPr>
              <w:t>ний</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sidR="00FD2C1E">
              <w:rPr>
                <w:rFonts w:ascii="ArialMT" w:hAnsi="ArialMT" w:cs="ArialMT"/>
                <w:sz w:val="16"/>
                <w:szCs w:val="16"/>
              </w:rPr>
              <w:t>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w:t>
            </w:r>
            <w:r w:rsidR="00FD2C1E">
              <w:rPr>
                <w:rFonts w:ascii="ArialMT" w:hAnsi="ArialMT" w:cs="ArialMT"/>
                <w:sz w:val="16"/>
                <w:szCs w:val="16"/>
              </w:rPr>
              <w:t>нтаж ригелей, балок, ферм, плит</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746887" w:rsidRPr="00CC190F" w:rsidRDefault="00746887" w:rsidP="00AC42C7">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sidR="00FD2C1E">
              <w:rPr>
                <w:rFonts w:ascii="ArialMT" w:hAnsi="ArialMT" w:cs="ArialMT"/>
                <w:sz w:val="16"/>
                <w:szCs w:val="16"/>
              </w:rPr>
              <w:t>док</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AC42C7">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r w:rsidR="00746887"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sidR="00FD2C1E">
              <w:rPr>
                <w:rFonts w:ascii="ArialMT" w:hAnsi="ArialMT" w:cs="ArialMT"/>
                <w:sz w:val="16"/>
                <w:szCs w:val="16"/>
              </w:rPr>
              <w:t>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sidR="00FD2C1E">
              <w:rPr>
                <w:rFonts w:ascii="ArialMT" w:hAnsi="ArialMT" w:cs="ArialMT"/>
                <w:sz w:val="16"/>
                <w:szCs w:val="16"/>
              </w:rPr>
              <w:t>городок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sidR="00FD2C1E">
              <w:rPr>
                <w:rFonts w:ascii="ArialMT" w:hAnsi="ArialMT" w:cs="ArialMT"/>
                <w:sz w:val="16"/>
                <w:szCs w:val="16"/>
              </w:rPr>
              <w:t>ки</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sidR="00FD2C1E">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2F4EEC"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74688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723063" w:rsidRDefault="00FD2C1E"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746887" w:rsidRPr="00723063" w:rsidRDefault="00746887" w:rsidP="00804581">
            <w:pPr>
              <w:spacing w:line="60" w:lineRule="atLeast"/>
              <w:jc w:val="both"/>
              <w:rPr>
                <w:rFonts w:ascii="ArialMT" w:hAnsi="ArialMT" w:cs="ArialMT"/>
                <w:sz w:val="16"/>
                <w:szCs w:val="16"/>
              </w:rPr>
            </w:pPr>
          </w:p>
        </w:tc>
      </w:tr>
      <w:tr w:rsidR="005374DF"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lastRenderedPageBreak/>
              <w:t>Кровельные раб</w:t>
            </w:r>
            <w:r w:rsidRPr="005374DF">
              <w:rPr>
                <w:b/>
                <w:bCs/>
                <w:spacing w:val="4"/>
                <w:sz w:val="16"/>
                <w:szCs w:val="16"/>
              </w:rPr>
              <w:t>о</w:t>
            </w:r>
            <w:r w:rsidRPr="005374DF">
              <w:rPr>
                <w:b/>
                <w:bCs/>
                <w:spacing w:val="4"/>
                <w:sz w:val="16"/>
                <w:szCs w:val="16"/>
              </w:rPr>
              <w:t>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DD4B27" w:rsidRPr="00FD2C1E" w:rsidRDefault="00DD4B27"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5374DF" w:rsidRPr="00804581" w:rsidRDefault="005374DF"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sidR="00FD2C1E">
              <w:rPr>
                <w:rFonts w:ascii="ArialMT" w:hAnsi="ArialMT" w:cs="ArialMT"/>
                <w:sz w:val="16"/>
                <w:szCs w:val="16"/>
              </w:rPr>
              <w:t>вель</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sidR="00132168">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sidR="00132168">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sidR="00FD2C1E">
              <w:rPr>
                <w:rFonts w:ascii="ArialMT" w:hAnsi="ArialMT" w:cs="ArialMT"/>
                <w:sz w:val="16"/>
                <w:szCs w:val="16"/>
              </w:rPr>
              <w:t>ментн</w:t>
            </w:r>
            <w:r w:rsidR="00132168">
              <w:rPr>
                <w:rFonts w:ascii="ArialMT" w:hAnsi="ArialMT" w:cs="ArialMT"/>
                <w:sz w:val="16"/>
                <w:szCs w:val="16"/>
              </w:rPr>
              <w:t>ых</w:t>
            </w:r>
            <w:r w:rsidR="00FD2C1E">
              <w:rPr>
                <w:rFonts w:ascii="ArialMT" w:hAnsi="ArialMT" w:cs="ArialMT"/>
                <w:sz w:val="16"/>
                <w:szCs w:val="16"/>
              </w:rPr>
              <w:t xml:space="preserve"> волнистых листов</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sidR="00FD2C1E">
              <w:rPr>
                <w:rFonts w:ascii="ArialMT" w:hAnsi="ArialMT" w:cs="ArialMT"/>
                <w:sz w:val="16"/>
                <w:szCs w:val="16"/>
              </w:rPr>
              <w:t>пицы)</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00FD2C1E">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ind w:left="-17"/>
              <w:rPr>
                <w:rFonts w:ascii="ArialMT" w:hAnsi="ArialMT" w:cs="ArialMT"/>
                <w:sz w:val="16"/>
                <w:szCs w:val="16"/>
              </w:rPr>
            </w:pPr>
            <w:r w:rsidRPr="00625FFB">
              <w:rPr>
                <w:rFonts w:ascii="ArialMT" w:hAnsi="ArialMT" w:cs="ArialMT"/>
                <w:sz w:val="16"/>
                <w:szCs w:val="16"/>
              </w:rPr>
              <w:t xml:space="preserve">СТБ 1992-2009 </w:t>
            </w:r>
          </w:p>
          <w:p w:rsidR="005374DF" w:rsidRPr="00625FFB" w:rsidRDefault="005374DF" w:rsidP="00804581">
            <w:pPr>
              <w:ind w:left="-17"/>
              <w:rPr>
                <w:rFonts w:ascii="ArialMT" w:hAnsi="ArialMT" w:cs="ArialMT"/>
                <w:sz w:val="16"/>
                <w:szCs w:val="16"/>
              </w:rPr>
            </w:pPr>
            <w:r>
              <w:rPr>
                <w:rFonts w:ascii="ArialMT" w:hAnsi="ArialMT" w:cs="ArialMT"/>
                <w:sz w:val="16"/>
                <w:szCs w:val="16"/>
              </w:rPr>
              <w:t>СТБ 2040-2010</w:t>
            </w:r>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5374DF" w:rsidRDefault="002F4EEC"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sidR="00FD2C1E">
              <w:rPr>
                <w:rFonts w:ascii="ArialMT" w:hAnsi="ArialMT" w:cs="ArialMT"/>
                <w:sz w:val="16"/>
                <w:szCs w:val="16"/>
              </w:rPr>
              <w:t>риалов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sidR="00FD2C1E">
              <w:rPr>
                <w:rFonts w:ascii="ArialMT" w:hAnsi="ArialMT" w:cs="ArialMT"/>
                <w:sz w:val="16"/>
                <w:szCs w:val="16"/>
              </w:rPr>
              <w:t>ной)</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sidR="00FD2C1E">
              <w:rPr>
                <w:rFonts w:ascii="ArialMT" w:hAnsi="ArialMT" w:cs="ArialMT"/>
                <w:sz w:val="16"/>
                <w:szCs w:val="16"/>
              </w:rPr>
              <w:t>изоляции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sidR="00FD2C1E">
              <w:rPr>
                <w:rFonts w:ascii="ArialMT" w:hAnsi="ArialMT" w:cs="ArialMT"/>
                <w:sz w:val="16"/>
                <w:szCs w:val="16"/>
              </w:rPr>
              <w:t>тов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sidR="00FD2C1E">
              <w:rPr>
                <w:rFonts w:ascii="ArialMT" w:hAnsi="ArialMT" w:cs="ArialMT"/>
                <w:sz w:val="16"/>
                <w:szCs w:val="16"/>
              </w:rPr>
              <w:t>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sidR="00FD2C1E">
              <w:rPr>
                <w:rFonts w:ascii="ArialMT" w:hAnsi="ArialMT" w:cs="ArialMT"/>
                <w:sz w:val="16"/>
                <w:szCs w:val="16"/>
              </w:rPr>
              <w:t>ми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sidR="00FD2C1E">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p w:rsidR="002F4EEC" w:rsidRPr="00625FFB" w:rsidRDefault="002F4EEC" w:rsidP="00804581">
            <w:pPr>
              <w:spacing w:line="60" w:lineRule="atLeast"/>
              <w:jc w:val="both"/>
              <w:rPr>
                <w:rFonts w:ascii="ArialMT" w:hAnsi="ArialMT" w:cs="ArialMT"/>
                <w:sz w:val="16"/>
                <w:szCs w:val="16"/>
              </w:rPr>
            </w:pP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374DF" w:rsidRDefault="005F3F6C"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5F3F6C"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sidR="00FD2C1E">
              <w:rPr>
                <w:rFonts w:ascii="ArialMT" w:hAnsi="ArialMT" w:cs="ArialMT"/>
                <w:sz w:val="16"/>
                <w:szCs w:val="16"/>
              </w:rPr>
              <w:t>лий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sidR="00FD2C1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2032-2010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2034-2010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2088-2010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sidR="00FD2C1E">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5374DF" w:rsidRDefault="003C58BB"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Default="00203AD9"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3C58BB" w:rsidRPr="00897D7D" w:rsidRDefault="003C58BB"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AC42C7">
            <w:pPr>
              <w:spacing w:line="276" w:lineRule="auto"/>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AC42C7">
            <w:pPr>
              <w:spacing w:line="276" w:lineRule="auto"/>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bottom w:val="nil"/>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AC42C7">
            <w:pPr>
              <w:spacing w:line="276" w:lineRule="auto"/>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DC20BE"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DC20BE" w:rsidRPr="00897D7D" w:rsidRDefault="00DC20BE"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AC42C7">
            <w:pPr>
              <w:spacing w:line="276" w:lineRule="auto"/>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DC20BE"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DC20BE" w:rsidRPr="005374DF" w:rsidRDefault="00DC20BE"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AC42C7">
            <w:pPr>
              <w:spacing w:line="276" w:lineRule="auto"/>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96825" w:rsidRDefault="00496825"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5374DF" w:rsidRDefault="00496825" w:rsidP="00496825">
            <w:pPr>
              <w:jc w:val="both"/>
              <w:rPr>
                <w:rFonts w:ascii="ArialMT" w:hAnsi="ArialMT" w:cs="ArialMT"/>
                <w:sz w:val="16"/>
                <w:szCs w:val="16"/>
              </w:rPr>
            </w:pPr>
            <w:r w:rsidRPr="00897D7D">
              <w:rPr>
                <w:rFonts w:ascii="ArialMT" w:hAnsi="ArialMT" w:cs="ArialMT"/>
                <w:sz w:val="16"/>
                <w:szCs w:val="16"/>
              </w:rPr>
              <w:t>СТБ 1472-2004</w:t>
            </w:r>
          </w:p>
          <w:p w:rsidR="00AC42C7" w:rsidRPr="00897D7D" w:rsidRDefault="00AC42C7" w:rsidP="00496825">
            <w:pPr>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5374DF"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6F3B1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lastRenderedPageBreak/>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03AD9" w:rsidRPr="00F655EF" w:rsidRDefault="00203AD9"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6F3B1E" w:rsidRPr="00F655EF" w:rsidRDefault="006F3B1E"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6F3B1E" w:rsidRPr="00F655EF" w:rsidRDefault="006F3B1E"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6F3B1E" w:rsidRPr="00F655EF" w:rsidRDefault="00FD2C1E"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6F3B1E" w:rsidRPr="00FD2C1E" w:rsidRDefault="006F3B1E"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sidR="00FD2C1E">
              <w:rPr>
                <w:rFonts w:ascii="ArialMT" w:hAnsi="ArialMT" w:cs="ArialMT"/>
                <w:sz w:val="16"/>
                <w:szCs w:val="16"/>
              </w:rPr>
              <w:t>ревесины и изделий на ее основе</w:t>
            </w:r>
          </w:p>
          <w:p w:rsidR="006F3B1E" w:rsidRPr="00F655EF" w:rsidRDefault="006F3B1E" w:rsidP="00AC42C7">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sidR="00FD2C1E">
              <w:rPr>
                <w:rFonts w:ascii="ArialMT" w:hAnsi="ArialMT" w:cs="ArialMT"/>
                <w:sz w:val="16"/>
                <w:szCs w:val="16"/>
              </w:rPr>
              <w:t>риалов и плиток</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7A3141" w:rsidRDefault="006F3B1E"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sidR="00FD2C1E">
              <w:rPr>
                <w:rFonts w:ascii="ArialMT" w:hAnsi="ArialMT" w:cs="ArialMT"/>
                <w:sz w:val="16"/>
                <w:szCs w:val="16"/>
              </w:rPr>
              <w:t>вания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default" r:id="rId9"/>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BA5" w:rsidRDefault="00535BA5">
      <w:r>
        <w:separator/>
      </w:r>
    </w:p>
  </w:endnote>
  <w:endnote w:type="continuationSeparator" w:id="0">
    <w:p w:rsidR="00535BA5" w:rsidRDefault="0053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AC42C7" w:rsidRDefault="0001755A" w:rsidP="00243605">
    <w:pPr>
      <w:ind w:firstLine="426"/>
      <w:jc w:val="both"/>
    </w:pPr>
    <w:r w:rsidRPr="00AC42C7">
      <w:t xml:space="preserve">Руководитель организации </w:t>
    </w:r>
  </w:p>
  <w:p w:rsidR="0001755A" w:rsidRPr="00AC42C7" w:rsidRDefault="0001755A" w:rsidP="00243605">
    <w:pPr>
      <w:tabs>
        <w:tab w:val="left" w:pos="3050"/>
      </w:tabs>
      <w:ind w:firstLine="426"/>
      <w:jc w:val="both"/>
    </w:pPr>
    <w:r w:rsidRPr="00AC42C7">
      <w:t xml:space="preserve">по оценке системы </w:t>
    </w:r>
    <w:r w:rsidRPr="00AC42C7">
      <w:tab/>
    </w:r>
  </w:p>
  <w:p w:rsidR="0001755A" w:rsidRPr="009A303A" w:rsidRDefault="0001755A" w:rsidP="00243605">
    <w:pPr>
      <w:ind w:firstLine="426"/>
      <w:jc w:val="both"/>
      <w:rPr>
        <w:sz w:val="16"/>
        <w:szCs w:val="16"/>
      </w:rPr>
    </w:pPr>
    <w:r w:rsidRPr="00AC42C7">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AC42C7">
      <w:rPr>
        <w:sz w:val="28"/>
      </w:rPr>
      <w:t>Е.Е. Семашко</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BA5" w:rsidRDefault="00535BA5">
      <w:r>
        <w:separator/>
      </w:r>
    </w:p>
  </w:footnote>
  <w:footnote w:type="continuationSeparator" w:id="0">
    <w:p w:rsidR="00535BA5" w:rsidRDefault="00535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AC42C7" w:rsidRDefault="00AC42C7" w:rsidP="00B966ED">
    <w:pPr>
      <w:ind w:left="4320"/>
      <w:rPr>
        <w:b/>
        <w:sz w:val="18"/>
        <w:szCs w:val="18"/>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AC42C7">
      <w:rPr>
        <w:sz w:val="28"/>
        <w:szCs w:val="28"/>
        <w:u w:val="single"/>
      </w:rPr>
      <w:t>1420</w:t>
    </w:r>
    <w:r>
      <w:rPr>
        <w:sz w:val="28"/>
        <w:szCs w:val="28"/>
        <w:u w:val="single"/>
      </w:rPr>
      <w:t xml:space="preserve"> </w:t>
    </w:r>
    <w:r w:rsidRPr="00316932">
      <w:rPr>
        <w:sz w:val="28"/>
        <w:szCs w:val="28"/>
        <w:u w:val="single"/>
      </w:rPr>
      <w:t>-20</w:t>
    </w:r>
    <w:r>
      <w:rPr>
        <w:sz w:val="28"/>
        <w:szCs w:val="28"/>
        <w:u w:val="single"/>
      </w:rPr>
      <w:t>2</w:t>
    </w:r>
    <w:r w:rsidR="00AC42C7">
      <w:rPr>
        <w:sz w:val="28"/>
        <w:szCs w:val="28"/>
        <w:u w:val="single"/>
      </w:rPr>
      <w:t>2</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0</w:t>
    </w:r>
    <w:r w:rsidR="00AC42C7">
      <w:rPr>
        <w:sz w:val="28"/>
        <w:u w:val="single"/>
      </w:rPr>
      <w:t>1</w:t>
    </w:r>
    <w:r w:rsidRPr="00316932">
      <w:rPr>
        <w:sz w:val="28"/>
        <w:u w:val="single"/>
      </w:rPr>
      <w:t xml:space="preserve"> </w:t>
    </w:r>
    <w:r w:rsidRPr="00316932">
      <w:rPr>
        <w:sz w:val="24"/>
        <w:szCs w:val="24"/>
      </w:rPr>
      <w:t>»</w:t>
    </w:r>
    <w:r w:rsidRPr="00316932">
      <w:rPr>
        <w:sz w:val="28"/>
        <w:u w:val="single"/>
      </w:rPr>
      <w:t xml:space="preserve"> </w:t>
    </w:r>
    <w:r w:rsidR="00AC42C7">
      <w:rPr>
        <w:sz w:val="28"/>
        <w:u w:val="single"/>
      </w:rPr>
      <w:t>августа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AC42C7">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6E4963">
      <w:rPr>
        <w:rStyle w:val="aa"/>
        <w:noProof/>
        <w:sz w:val="28"/>
        <w:szCs w:val="28"/>
        <w:u w:val="single"/>
      </w:rPr>
      <w:t>3</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6E4963">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ООО «</w:t>
    </w:r>
    <w:r w:rsidR="00AC42C7">
      <w:rPr>
        <w:sz w:val="32"/>
        <w:szCs w:val="32"/>
      </w:rPr>
      <w:t>Инфрострой</w:t>
    </w:r>
    <w:r>
      <w:rPr>
        <w:sz w:val="32"/>
        <w:szCs w:val="32"/>
      </w:rPr>
      <w:t>»</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18F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5BA5"/>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963"/>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0E54"/>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2C7"/>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97A"/>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B4764"/>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2022-08-01T06:51:00Z</cp:lastPrinted>
  <dcterms:created xsi:type="dcterms:W3CDTF">2026-06-16T12:22:00Z</dcterms:created>
  <dcterms:modified xsi:type="dcterms:W3CDTF">2026-06-16T12:22:00Z</dcterms:modified>
</cp:coreProperties>
</file>