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битумо-полимерных волнистых кровельных </w:t>
            </w:r>
            <w:r w:rsidR="00507550" w:rsidRPr="00625FFB">
              <w:rPr>
                <w:rFonts w:ascii="ArialMT" w:hAnsi="ArialMT" w:cs="ArialMT"/>
                <w:sz w:val="16"/>
                <w:szCs w:val="16"/>
              </w:rPr>
              <w:t>асбесто</w:t>
            </w:r>
            <w:r w:rsidR="00507550" w:rsidRPr="00625FFB">
              <w:rPr>
                <w:rFonts w:ascii="ArialMT" w:hAnsi="ArialMT" w:cs="ArialMT"/>
                <w:sz w:val="16"/>
                <w:szCs w:val="16"/>
              </w:rPr>
              <w:t>ц</w:t>
            </w:r>
            <w:r w:rsidR="00507550">
              <w:rPr>
                <w:rFonts w:ascii="ArialMT" w:hAnsi="ArialMT" w:cs="ArialMT"/>
                <w:sz w:val="16"/>
                <w:szCs w:val="16"/>
              </w:rPr>
              <w:t>ементных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507550" w:rsidRPr="005374DF" w:rsidRDefault="00507550"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00FD2C1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p w:rsidR="00507550" w:rsidRPr="00897D7D" w:rsidRDefault="00507550" w:rsidP="00FD2C1E">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lastRenderedPageBreak/>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8356EE" w:rsidP="00804581">
            <w:pPr>
              <w:spacing w:line="60" w:lineRule="atLeast"/>
              <w:jc w:val="both"/>
              <w:rPr>
                <w:rFonts w:ascii="ArialMT" w:hAnsi="ArialMT" w:cs="ArialMT"/>
                <w:sz w:val="16"/>
                <w:szCs w:val="16"/>
              </w:rPr>
            </w:pPr>
            <w:r>
              <w:rPr>
                <w:rFonts w:ascii="ArialMT" w:hAnsi="ArialMT" w:cs="ArialMT"/>
                <w:sz w:val="16"/>
                <w:szCs w:val="16"/>
              </w:rPr>
              <w:t>ГОСТ</w:t>
            </w:r>
            <w:r w:rsidR="00933F74">
              <w:rPr>
                <w:rFonts w:ascii="ArialMT" w:hAnsi="ArialMT" w:cs="ArialMT"/>
                <w:sz w:val="16"/>
                <w:szCs w:val="16"/>
              </w:rPr>
              <w:t xml:space="preserve"> Е</w:t>
            </w:r>
            <w:proofErr w:type="gramStart"/>
            <w:r w:rsidR="00933F74">
              <w:rPr>
                <w:rFonts w:ascii="ArialMT" w:hAnsi="ArialMT" w:cs="ArialMT"/>
                <w:sz w:val="16"/>
                <w:szCs w:val="16"/>
              </w:rPr>
              <w:t>N</w:t>
            </w:r>
            <w:proofErr w:type="gramEnd"/>
            <w:r w:rsidR="00933F74">
              <w:rPr>
                <w:rFonts w:ascii="ArialMT" w:hAnsi="ArialMT" w:cs="ArialMT"/>
                <w:sz w:val="16"/>
                <w:szCs w:val="16"/>
              </w:rPr>
              <w:t xml:space="preserve"> 1434-6-2018</w:t>
            </w:r>
            <w:r w:rsidR="00364A3D"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sidR="0065452F">
              <w:rPr>
                <w:rFonts w:ascii="ArialMT" w:hAnsi="ArialMT" w:cs="ArialMT"/>
                <w:sz w:val="16"/>
                <w:szCs w:val="16"/>
              </w:rPr>
              <w:t>.2-94</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364A3D" w:rsidRPr="00804581" w:rsidRDefault="00364A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00FD2C1E">
              <w:rPr>
                <w:rFonts w:ascii="ArialMT" w:hAnsi="ArialMT" w:cs="ArialMT"/>
                <w:sz w:val="16"/>
                <w:szCs w:val="16"/>
              </w:rPr>
              <w:t>дачи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sidR="00FD2C1E">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364A3D" w:rsidRPr="00D62F58" w:rsidRDefault="0065452F"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6417A4"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6417A4" w:rsidRPr="006417A4" w:rsidRDefault="00741C90" w:rsidP="00804581">
            <w:pPr>
              <w:rPr>
                <w:b/>
                <w:bCs/>
                <w:spacing w:val="4"/>
                <w:sz w:val="16"/>
                <w:szCs w:val="16"/>
                <w:highlight w:val="yellow"/>
              </w:rPr>
            </w:pPr>
            <w:r>
              <w:rPr>
                <w:b/>
                <w:bCs/>
                <w:spacing w:val="4"/>
                <w:sz w:val="16"/>
                <w:szCs w:val="16"/>
              </w:rPr>
              <w:lastRenderedPageBreak/>
              <w:t>С</w:t>
            </w:r>
            <w:r w:rsidR="006417A4" w:rsidRPr="0041225E">
              <w:rPr>
                <w:b/>
                <w:bCs/>
                <w:spacing w:val="4"/>
                <w:sz w:val="16"/>
                <w:szCs w:val="16"/>
              </w:rPr>
              <w:t>истемы связи и ди</w:t>
            </w:r>
            <w:r w:rsidR="006417A4" w:rsidRPr="0041225E">
              <w:rPr>
                <w:b/>
                <w:bCs/>
                <w:spacing w:val="4"/>
                <w:sz w:val="16"/>
                <w:szCs w:val="16"/>
              </w:rPr>
              <w:t>с</w:t>
            </w:r>
            <w:r w:rsidR="006417A4" w:rsidRPr="0041225E">
              <w:rPr>
                <w:b/>
                <w:bCs/>
                <w:spacing w:val="4"/>
                <w:sz w:val="16"/>
                <w:szCs w:val="16"/>
              </w:rPr>
              <w:t>петчеризации инж</w:t>
            </w:r>
            <w:r w:rsidR="006417A4" w:rsidRPr="0041225E">
              <w:rPr>
                <w:b/>
                <w:bCs/>
                <w:spacing w:val="4"/>
                <w:sz w:val="16"/>
                <w:szCs w:val="16"/>
              </w:rPr>
              <w:t>е</w:t>
            </w:r>
            <w:r w:rsidR="006417A4" w:rsidRPr="0041225E">
              <w:rPr>
                <w:b/>
                <w:bCs/>
                <w:spacing w:val="4"/>
                <w:sz w:val="16"/>
                <w:szCs w:val="16"/>
              </w:rPr>
              <w:t>нерного оборудования жилых и обществе</w:t>
            </w:r>
            <w:r w:rsidR="006417A4" w:rsidRPr="0041225E">
              <w:rPr>
                <w:b/>
                <w:bCs/>
                <w:spacing w:val="4"/>
                <w:sz w:val="16"/>
                <w:szCs w:val="16"/>
              </w:rPr>
              <w:t>н</w:t>
            </w:r>
            <w:r w:rsidR="006417A4"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6417A4" w:rsidRPr="00D62F58" w:rsidRDefault="00765063" w:rsidP="001B26A4">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6417A4" w:rsidRPr="00D62F58"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6417A4" w:rsidRPr="00D62F58" w:rsidRDefault="006417A4" w:rsidP="006417A4">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6417A4" w:rsidRPr="00D62F58" w:rsidRDefault="0065452F" w:rsidP="00D37F6C">
            <w:pPr>
              <w:spacing w:line="60" w:lineRule="atLeast"/>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27" w:rsidRDefault="000A1F27">
      <w:r>
        <w:separator/>
      </w:r>
    </w:p>
  </w:endnote>
  <w:endnote w:type="continuationSeparator" w:id="0">
    <w:p w:rsidR="000A1F27" w:rsidRDefault="000A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4F" w:rsidRDefault="00856C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4F" w:rsidRDefault="00856C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27" w:rsidRDefault="000A1F27">
      <w:r>
        <w:separator/>
      </w:r>
    </w:p>
  </w:footnote>
  <w:footnote w:type="continuationSeparator" w:id="0">
    <w:p w:rsidR="000A1F27" w:rsidRDefault="000A1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507550" w:rsidRDefault="00507550" w:rsidP="00B966ED">
    <w:pPr>
      <w:ind w:left="4320"/>
      <w:rPr>
        <w:b/>
        <w:sz w:val="18"/>
        <w:szCs w:val="18"/>
      </w:rPr>
    </w:pPr>
  </w:p>
  <w:p w:rsidR="004A4AFB" w:rsidRPr="00706A04" w:rsidRDefault="004A4AFB"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4A4AFB" w:rsidRPr="00706A04" w:rsidRDefault="004A4AF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507550">
      <w:rPr>
        <w:sz w:val="28"/>
        <w:szCs w:val="28"/>
        <w:u w:val="single"/>
      </w:rPr>
      <w:t>641</w:t>
    </w:r>
    <w:r>
      <w:rPr>
        <w:sz w:val="28"/>
        <w:szCs w:val="28"/>
        <w:u w:val="single"/>
      </w:rPr>
      <w:t xml:space="preserve"> </w:t>
    </w:r>
    <w:r w:rsidRPr="00316932">
      <w:rPr>
        <w:sz w:val="28"/>
        <w:szCs w:val="28"/>
        <w:u w:val="single"/>
      </w:rPr>
      <w:t>-20</w:t>
    </w:r>
    <w:r w:rsidR="00D8732E">
      <w:rPr>
        <w:sz w:val="28"/>
        <w:szCs w:val="28"/>
        <w:u w:val="single"/>
      </w:rPr>
      <w:t>2</w:t>
    </w:r>
    <w:r w:rsidR="00507550">
      <w:rPr>
        <w:sz w:val="28"/>
        <w:szCs w:val="28"/>
        <w:u w:val="single"/>
      </w:rPr>
      <w:t>1</w:t>
    </w:r>
    <w:bookmarkEnd w:id="0"/>
    <w:r w:rsidRPr="00706A04">
      <w:rPr>
        <w:sz w:val="28"/>
        <w:u w:val="single"/>
      </w:rPr>
      <w:t xml:space="preserve">                             .</w:t>
    </w:r>
  </w:p>
  <w:p w:rsidR="004A4AFB" w:rsidRPr="00706A04" w:rsidRDefault="004A4AF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A4AFB" w:rsidRPr="00E510FF" w:rsidRDefault="004A4AF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507550">
      <w:rPr>
        <w:sz w:val="28"/>
        <w:u w:val="single"/>
      </w:rPr>
      <w:t>10</w:t>
    </w:r>
    <w:r w:rsidRPr="00316932">
      <w:rPr>
        <w:sz w:val="28"/>
        <w:u w:val="single"/>
      </w:rPr>
      <w:t xml:space="preserve"> </w:t>
    </w:r>
    <w:r w:rsidRPr="00316932">
      <w:rPr>
        <w:sz w:val="24"/>
        <w:szCs w:val="24"/>
      </w:rPr>
      <w:t>»</w:t>
    </w:r>
    <w:r w:rsidRPr="00316932">
      <w:rPr>
        <w:sz w:val="28"/>
        <w:u w:val="single"/>
      </w:rPr>
      <w:t xml:space="preserve"> </w:t>
    </w:r>
    <w:r w:rsidR="00507550">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sidR="00D8732E">
      <w:rPr>
        <w:sz w:val="28"/>
        <w:szCs w:val="28"/>
        <w:u w:val="single"/>
      </w:rPr>
      <w:t>2</w:t>
    </w:r>
    <w:r w:rsidR="00507550">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856C4F">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56C4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507550" w:rsidRDefault="00507550" w:rsidP="00507550">
    <w:pPr>
      <w:jc w:val="center"/>
      <w:rPr>
        <w:sz w:val="32"/>
        <w:szCs w:val="32"/>
      </w:rPr>
    </w:pPr>
    <w:r>
      <w:rPr>
        <w:sz w:val="32"/>
        <w:szCs w:val="32"/>
      </w:rPr>
      <w:t>Коммунального жилищного ремонтно-эксплуатационного</w:t>
    </w:r>
  </w:p>
  <w:p w:rsidR="00507550" w:rsidRPr="00F36231" w:rsidRDefault="00507550" w:rsidP="00507550">
    <w:pPr>
      <w:jc w:val="center"/>
      <w:rPr>
        <w:sz w:val="28"/>
        <w:szCs w:val="28"/>
      </w:rPr>
    </w:pPr>
    <w:r>
      <w:rPr>
        <w:sz w:val="32"/>
        <w:szCs w:val="32"/>
      </w:rPr>
      <w:t xml:space="preserve"> унитарн</w:t>
    </w:r>
    <w:r>
      <w:rPr>
        <w:sz w:val="32"/>
        <w:szCs w:val="32"/>
      </w:rPr>
      <w:t>о</w:t>
    </w:r>
    <w:r>
      <w:rPr>
        <w:sz w:val="32"/>
        <w:szCs w:val="32"/>
      </w:rPr>
      <w:t xml:space="preserve">го предприятия «Центральное» </w:t>
    </w:r>
  </w:p>
  <w:p w:rsidR="004A4AFB" w:rsidRDefault="004A4AFB"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4F" w:rsidRDefault="00856C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1F27"/>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07550"/>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6C4F"/>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2018-12-06T12:22:00Z</cp:lastPrinted>
  <dcterms:created xsi:type="dcterms:W3CDTF">2026-06-16T14:31:00Z</dcterms:created>
  <dcterms:modified xsi:type="dcterms:W3CDTF">2026-06-16T14:31:00Z</dcterms:modified>
</cp:coreProperties>
</file>