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Pr="005374DF" w:rsidRDefault="001A656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00FD2C1E">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364A3D" w:rsidRPr="00804581" w:rsidRDefault="00364A3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364A3D" w:rsidRPr="00D62F58" w:rsidRDefault="00364A3D" w:rsidP="005D3DFF">
            <w:pPr>
              <w:spacing w:line="60" w:lineRule="atLeast"/>
              <w:jc w:val="both"/>
              <w:rPr>
                <w:rFonts w:ascii="ArialMT" w:hAnsi="ArialMT" w:cs="ArialMT"/>
                <w:sz w:val="16"/>
                <w:szCs w:val="16"/>
              </w:rPr>
            </w:pPr>
            <w:r w:rsidRPr="00D62F58">
              <w:rPr>
                <w:rFonts w:ascii="ArialMT" w:hAnsi="ArialMT" w:cs="ArialMT"/>
                <w:sz w:val="16"/>
                <w:szCs w:val="16"/>
              </w:rPr>
              <w:t>ТКП 339-20</w:t>
            </w:r>
            <w:r w:rsidR="005D3DFF">
              <w:rPr>
                <w:rFonts w:ascii="ArialMT" w:hAnsi="ArialMT" w:cs="ArialMT"/>
                <w:sz w:val="16"/>
                <w:szCs w:val="16"/>
              </w:rPr>
              <w:t>22</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sidR="00FD2C1E">
              <w:rPr>
                <w:rFonts w:ascii="ArialMT" w:hAnsi="ArialMT" w:cs="ArialMT"/>
                <w:sz w:val="16"/>
                <w:szCs w:val="16"/>
              </w:rPr>
              <w:t>дачи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sidR="00FD2C1E">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364A3D" w:rsidRPr="00D62F58" w:rsidRDefault="0065452F"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6417A4"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6417A4" w:rsidRPr="006417A4" w:rsidRDefault="00741C90" w:rsidP="00804581">
            <w:pPr>
              <w:rPr>
                <w:b/>
                <w:bCs/>
                <w:spacing w:val="4"/>
                <w:sz w:val="16"/>
                <w:szCs w:val="16"/>
                <w:highlight w:val="yellow"/>
              </w:rPr>
            </w:pPr>
            <w:r>
              <w:rPr>
                <w:b/>
                <w:bCs/>
                <w:spacing w:val="4"/>
                <w:sz w:val="16"/>
                <w:szCs w:val="16"/>
              </w:rPr>
              <w:t>С</w:t>
            </w:r>
            <w:r w:rsidR="006417A4" w:rsidRPr="0041225E">
              <w:rPr>
                <w:b/>
                <w:bCs/>
                <w:spacing w:val="4"/>
                <w:sz w:val="16"/>
                <w:szCs w:val="16"/>
              </w:rPr>
              <w:t>истемы связи и ди</w:t>
            </w:r>
            <w:r w:rsidR="006417A4" w:rsidRPr="0041225E">
              <w:rPr>
                <w:b/>
                <w:bCs/>
                <w:spacing w:val="4"/>
                <w:sz w:val="16"/>
                <w:szCs w:val="16"/>
              </w:rPr>
              <w:t>с</w:t>
            </w:r>
            <w:r w:rsidR="006417A4" w:rsidRPr="0041225E">
              <w:rPr>
                <w:b/>
                <w:bCs/>
                <w:spacing w:val="4"/>
                <w:sz w:val="16"/>
                <w:szCs w:val="16"/>
              </w:rPr>
              <w:t>петчеризации инж</w:t>
            </w:r>
            <w:r w:rsidR="006417A4" w:rsidRPr="0041225E">
              <w:rPr>
                <w:b/>
                <w:bCs/>
                <w:spacing w:val="4"/>
                <w:sz w:val="16"/>
                <w:szCs w:val="16"/>
              </w:rPr>
              <w:t>е</w:t>
            </w:r>
            <w:r w:rsidR="006417A4" w:rsidRPr="0041225E">
              <w:rPr>
                <w:b/>
                <w:bCs/>
                <w:spacing w:val="4"/>
                <w:sz w:val="16"/>
                <w:szCs w:val="16"/>
              </w:rPr>
              <w:t>нерного оборудования жилых и обществе</w:t>
            </w:r>
            <w:r w:rsidR="006417A4" w:rsidRPr="0041225E">
              <w:rPr>
                <w:b/>
                <w:bCs/>
                <w:spacing w:val="4"/>
                <w:sz w:val="16"/>
                <w:szCs w:val="16"/>
              </w:rPr>
              <w:t>н</w:t>
            </w:r>
            <w:r w:rsidR="006417A4"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6417A4" w:rsidRPr="00D62F58" w:rsidRDefault="00765063" w:rsidP="001B26A4">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Система домофонной связи</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6417A4" w:rsidRPr="0041225E"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6417A4" w:rsidRPr="00D62F58" w:rsidRDefault="006417A4"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6417A4" w:rsidRPr="00D62F58" w:rsidRDefault="006417A4" w:rsidP="006417A4">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6417A4" w:rsidRPr="00D62F58" w:rsidRDefault="0065452F" w:rsidP="00D37F6C">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B26"/>
    <w:sectPr w:rsidR="00B857B6" w:rsidRPr="00D801E8" w:rsidSect="0096529D">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387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F8F" w:rsidRDefault="002E1F8F">
      <w:r>
        <w:separator/>
      </w:r>
    </w:p>
  </w:endnote>
  <w:endnote w:type="continuationSeparator" w:id="0">
    <w:p w:rsidR="002E1F8F" w:rsidRDefault="002E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8A" w:rsidRDefault="00B1288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8A" w:rsidRDefault="00B1288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F8F" w:rsidRDefault="002E1F8F">
      <w:r>
        <w:separator/>
      </w:r>
    </w:p>
  </w:footnote>
  <w:footnote w:type="continuationSeparator" w:id="0">
    <w:p w:rsidR="002E1F8F" w:rsidRDefault="002E1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96529D">
      <w:rPr>
        <w:sz w:val="28"/>
        <w:szCs w:val="28"/>
        <w:u w:val="single"/>
      </w:rPr>
      <w:t>1590</w:t>
    </w:r>
    <w:r>
      <w:rPr>
        <w:sz w:val="28"/>
        <w:szCs w:val="28"/>
        <w:u w:val="single"/>
      </w:rPr>
      <w:t xml:space="preserve"> </w:t>
    </w:r>
    <w:r w:rsidRPr="00316932">
      <w:rPr>
        <w:sz w:val="28"/>
        <w:szCs w:val="28"/>
        <w:u w:val="single"/>
      </w:rPr>
      <w:t>-</w:t>
    </w:r>
    <w:r w:rsidR="0096529D">
      <w:rPr>
        <w:sz w:val="28"/>
        <w:szCs w:val="28"/>
        <w:u w:val="single"/>
      </w:rPr>
      <w:t xml:space="preserve"> </w:t>
    </w:r>
    <w:r w:rsidRPr="00316932">
      <w:rPr>
        <w:sz w:val="28"/>
        <w:szCs w:val="28"/>
        <w:u w:val="single"/>
      </w:rPr>
      <w:t>20</w:t>
    </w:r>
    <w:r>
      <w:rPr>
        <w:sz w:val="28"/>
        <w:szCs w:val="28"/>
        <w:u w:val="single"/>
      </w:rPr>
      <w:t>2</w:t>
    </w:r>
    <w:r w:rsidR="00DB3785">
      <w:rPr>
        <w:sz w:val="28"/>
        <w:szCs w:val="28"/>
        <w:u w:val="single"/>
      </w:rPr>
      <w:t>4</w:t>
    </w:r>
    <w:r w:rsidRPr="00706A04">
      <w:rPr>
        <w:sz w:val="28"/>
        <w:u w:val="single"/>
      </w:rPr>
      <w:t xml:space="preserve">                          </w:t>
    </w:r>
    <w:proofErr w:type="gramStart"/>
    <w:r w:rsidRPr="00706A04">
      <w:rPr>
        <w:sz w:val="28"/>
        <w:u w:val="single"/>
      </w:rPr>
      <w:t xml:space="preserve">  .</w:t>
    </w:r>
    <w:proofErr w:type="gramEnd"/>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DB3785">
      <w:rPr>
        <w:sz w:val="24"/>
        <w:szCs w:val="24"/>
      </w:rPr>
      <w:t xml:space="preserve"> </w:t>
    </w:r>
    <w:r w:rsidR="0096529D">
      <w:rPr>
        <w:sz w:val="28"/>
        <w:u w:val="single"/>
      </w:rPr>
      <w:t>31</w:t>
    </w:r>
    <w:r w:rsidRPr="00316932">
      <w:rPr>
        <w:sz w:val="28"/>
        <w:u w:val="single"/>
      </w:rPr>
      <w:t xml:space="preserve"> </w:t>
    </w:r>
    <w:r w:rsidRPr="00316932">
      <w:rPr>
        <w:sz w:val="24"/>
        <w:szCs w:val="24"/>
      </w:rPr>
      <w:t>»</w:t>
    </w:r>
    <w:r w:rsidRPr="00316932">
      <w:rPr>
        <w:sz w:val="28"/>
        <w:u w:val="single"/>
      </w:rPr>
      <w:t xml:space="preserve"> </w:t>
    </w:r>
    <w:r w:rsidR="0096529D">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DB3785">
      <w:rPr>
        <w:sz w:val="28"/>
        <w:szCs w:val="28"/>
        <w:u w:val="single"/>
      </w:rPr>
      <w:t>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1288A">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1288A">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DB3785">
      <w:rPr>
        <w:sz w:val="32"/>
        <w:szCs w:val="32"/>
      </w:rPr>
      <w:t>ВЕДИЗ электрострой</w:t>
    </w:r>
    <w:r>
      <w:rPr>
        <w:sz w:val="32"/>
        <w:szCs w:val="32"/>
      </w:rPr>
      <w:t>»</w:t>
    </w:r>
  </w:p>
  <w:p w:rsidR="0001755A" w:rsidRDefault="00257D9E"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EA90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B185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Pr="00B1288A" w:rsidRDefault="0001755A">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8A" w:rsidRDefault="00B1288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3E89"/>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57D9E"/>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F8F"/>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529D"/>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88A"/>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251"/>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6B"/>
    <w:rsid w:val="00D97CAA"/>
    <w:rsid w:val="00DA02D3"/>
    <w:rsid w:val="00DA046E"/>
    <w:rsid w:val="00DA05A5"/>
    <w:rsid w:val="00DA1B34"/>
    <w:rsid w:val="00DA284F"/>
    <w:rsid w:val="00DA2D71"/>
    <w:rsid w:val="00DA3BEF"/>
    <w:rsid w:val="00DA5EFD"/>
    <w:rsid w:val="00DA6CBF"/>
    <w:rsid w:val="00DB0613"/>
    <w:rsid w:val="00DB117C"/>
    <w:rsid w:val="00DB3785"/>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18D4"/>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17"/>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1119"/>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2C09"/>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B0AC235-D476-49E8-A1F8-37426BDE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1188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2024-01-31T07:02:00Z</cp:lastPrinted>
  <dcterms:created xsi:type="dcterms:W3CDTF">2026-06-19T13:36:00Z</dcterms:created>
  <dcterms:modified xsi:type="dcterms:W3CDTF">2026-06-19T13:37:00Z</dcterms:modified>
</cp:coreProperties>
</file>