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617BD6" w:rsidRPr="0066216A" w:rsidTr="00B83F26">
        <w:trPr>
          <w:trHeight w:val="679"/>
        </w:trPr>
        <w:tc>
          <w:tcPr>
            <w:tcW w:w="1985" w:type="dxa"/>
            <w:tcBorders>
              <w:top w:val="double" w:sz="6" w:space="0" w:color="auto"/>
              <w:left w:val="single" w:sz="6" w:space="0" w:color="auto"/>
              <w:bottom w:val="double" w:sz="6" w:space="0" w:color="auto"/>
              <w:right w:val="single" w:sz="6" w:space="0" w:color="auto"/>
            </w:tcBorders>
          </w:tcPr>
          <w:p w:rsidR="00617BD6" w:rsidRPr="007A3141" w:rsidRDefault="00617BD6" w:rsidP="00617BD6">
            <w:pPr>
              <w:rPr>
                <w:b/>
                <w:bCs/>
                <w:spacing w:val="4"/>
                <w:sz w:val="16"/>
                <w:szCs w:val="16"/>
              </w:rPr>
            </w:pPr>
            <w:r w:rsidRPr="00B35B3A">
              <w:rPr>
                <w:b/>
                <w:bCs/>
                <w:spacing w:val="4"/>
                <w:sz w:val="16"/>
                <w:szCs w:val="16"/>
              </w:rPr>
              <w:t xml:space="preserve">Благоустройство </w:t>
            </w:r>
            <w:r>
              <w:rPr>
                <w:b/>
                <w:bCs/>
                <w:spacing w:val="4"/>
                <w:sz w:val="16"/>
                <w:szCs w:val="16"/>
              </w:rPr>
              <w:t xml:space="preserve">           </w:t>
            </w:r>
            <w:r w:rsidRPr="00B35B3A">
              <w:rPr>
                <w:b/>
                <w:bCs/>
                <w:spacing w:val="4"/>
                <w:sz w:val="16"/>
                <w:szCs w:val="16"/>
              </w:rPr>
              <w:t>территорий</w:t>
            </w:r>
          </w:p>
        </w:tc>
        <w:tc>
          <w:tcPr>
            <w:tcW w:w="1701" w:type="dxa"/>
            <w:tcBorders>
              <w:top w:val="double" w:sz="6" w:space="0" w:color="auto"/>
              <w:left w:val="single" w:sz="6" w:space="0" w:color="auto"/>
              <w:bottom w:val="double" w:sz="6" w:space="0" w:color="auto"/>
              <w:right w:val="single" w:sz="6" w:space="0" w:color="auto"/>
            </w:tcBorders>
          </w:tcPr>
          <w:p w:rsidR="00617BD6" w:rsidRPr="007A3141" w:rsidRDefault="00617BD6" w:rsidP="00617BD6">
            <w:pPr>
              <w:spacing w:line="60" w:lineRule="atLeast"/>
              <w:jc w:val="both"/>
              <w:rPr>
                <w:rFonts w:ascii="ArialMT" w:hAnsi="ArialMT" w:cs="ArialMT"/>
                <w:sz w:val="16"/>
                <w:szCs w:val="16"/>
              </w:rPr>
            </w:pPr>
            <w:r w:rsidRPr="00B35B3A">
              <w:rPr>
                <w:rFonts w:ascii="ArialMT" w:hAnsi="ArialMT" w:cs="ArialMT"/>
                <w:sz w:val="16"/>
                <w:szCs w:val="16"/>
              </w:rPr>
              <w:t>СП 3.02.10-2025</w:t>
            </w:r>
            <w:r w:rsidRPr="007A3141">
              <w:rPr>
                <w:rFonts w:ascii="ArialMT" w:hAnsi="ArialMT" w:cs="ArialMT"/>
                <w:sz w:val="16"/>
                <w:szCs w:val="16"/>
              </w:rPr>
              <w:t xml:space="preserve"> </w:t>
            </w:r>
          </w:p>
          <w:p w:rsidR="00617BD6" w:rsidRPr="007A3141" w:rsidRDefault="00617BD6" w:rsidP="00617BD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17BD6" w:rsidRPr="0079189A" w:rsidRDefault="00617BD6" w:rsidP="00617BD6">
            <w:pPr>
              <w:spacing w:line="60" w:lineRule="atLeast"/>
              <w:jc w:val="both"/>
              <w:rPr>
                <w:rFonts w:ascii="ArialMT" w:hAnsi="ArialMT" w:cs="ArialMT"/>
                <w:sz w:val="16"/>
                <w:szCs w:val="16"/>
              </w:rPr>
            </w:pPr>
            <w:r w:rsidRPr="0079189A">
              <w:rPr>
                <w:rFonts w:ascii="ArialMT" w:hAnsi="ArialMT" w:cs="ArialMT"/>
                <w:sz w:val="16"/>
                <w:szCs w:val="16"/>
              </w:rPr>
              <w:t>Подготовительные работы</w:t>
            </w:r>
          </w:p>
          <w:p w:rsidR="00617BD6" w:rsidRPr="0079189A" w:rsidRDefault="00617BD6" w:rsidP="00617BD6">
            <w:pPr>
              <w:spacing w:line="60" w:lineRule="atLeast"/>
              <w:jc w:val="both"/>
              <w:rPr>
                <w:rFonts w:ascii="ArialMT" w:hAnsi="ArialMT" w:cs="ArialMT"/>
                <w:sz w:val="16"/>
                <w:szCs w:val="16"/>
              </w:rPr>
            </w:pPr>
            <w:r w:rsidRPr="0079189A">
              <w:rPr>
                <w:rFonts w:ascii="ArialMT" w:hAnsi="ArialMT" w:cs="ArialMT"/>
                <w:sz w:val="16"/>
                <w:szCs w:val="16"/>
              </w:rPr>
              <w:t>Сооружение земляного полотна</w:t>
            </w:r>
          </w:p>
          <w:p w:rsidR="00617BD6" w:rsidRPr="0079189A" w:rsidRDefault="00617BD6" w:rsidP="00617BD6">
            <w:pPr>
              <w:spacing w:line="60" w:lineRule="atLeast"/>
              <w:jc w:val="both"/>
              <w:rPr>
                <w:rFonts w:ascii="ArialMT" w:hAnsi="ArialMT" w:cs="ArialMT"/>
                <w:sz w:val="16"/>
                <w:szCs w:val="16"/>
              </w:rPr>
            </w:pPr>
            <w:r w:rsidRPr="0079189A">
              <w:rPr>
                <w:rFonts w:ascii="ArialMT" w:hAnsi="ArialMT" w:cs="ArialMT"/>
                <w:sz w:val="16"/>
                <w:szCs w:val="16"/>
              </w:rPr>
              <w:t>Устройство слоев основания</w:t>
            </w:r>
          </w:p>
          <w:p w:rsidR="00617BD6" w:rsidRPr="0079189A" w:rsidRDefault="00617BD6" w:rsidP="00617BD6">
            <w:pPr>
              <w:spacing w:line="60" w:lineRule="atLeast"/>
              <w:jc w:val="both"/>
              <w:rPr>
                <w:rFonts w:ascii="ArialMT" w:hAnsi="ArialMT" w:cs="ArialMT"/>
                <w:sz w:val="16"/>
                <w:szCs w:val="16"/>
              </w:rPr>
            </w:pPr>
            <w:r w:rsidRPr="0079189A">
              <w:rPr>
                <w:rFonts w:ascii="ArialMT" w:hAnsi="ArialMT" w:cs="ArialMT"/>
                <w:sz w:val="16"/>
                <w:szCs w:val="16"/>
              </w:rPr>
              <w:t>Установка бортового камня</w:t>
            </w:r>
          </w:p>
          <w:p w:rsidR="00617BD6" w:rsidRPr="0079189A" w:rsidRDefault="00617BD6" w:rsidP="00617BD6">
            <w:pPr>
              <w:spacing w:line="60" w:lineRule="atLeast"/>
              <w:jc w:val="both"/>
              <w:rPr>
                <w:rFonts w:ascii="ArialMT" w:hAnsi="ArialMT" w:cs="ArialMT"/>
                <w:sz w:val="16"/>
                <w:szCs w:val="16"/>
              </w:rPr>
            </w:pPr>
            <w:r w:rsidRPr="0079189A">
              <w:rPr>
                <w:rFonts w:ascii="ArialMT" w:hAnsi="ArialMT" w:cs="ArialMT"/>
                <w:sz w:val="16"/>
                <w:szCs w:val="16"/>
              </w:rPr>
              <w:t>Устройство сборного покрытия из тротуарных плит</w:t>
            </w:r>
          </w:p>
          <w:p w:rsidR="00617BD6" w:rsidRPr="00897D7D" w:rsidRDefault="00617BD6" w:rsidP="00617BD6">
            <w:pPr>
              <w:spacing w:line="60" w:lineRule="atLeast"/>
              <w:jc w:val="both"/>
              <w:rPr>
                <w:rFonts w:ascii="ArialMT" w:hAnsi="ArialMT" w:cs="ArialMT"/>
                <w:sz w:val="16"/>
                <w:szCs w:val="16"/>
              </w:rPr>
            </w:pPr>
            <w:r w:rsidRPr="0079189A">
              <w:rPr>
                <w:rFonts w:ascii="ArialMT" w:hAnsi="ArialMT" w:cs="ArialMT"/>
                <w:sz w:val="16"/>
                <w:szCs w:val="16"/>
              </w:rPr>
              <w:t>Устройство</w:t>
            </w:r>
            <w:r>
              <w:rPr>
                <w:rFonts w:ascii="ArialMT" w:hAnsi="ArialMT" w:cs="ArialMT"/>
                <w:sz w:val="16"/>
                <w:szCs w:val="16"/>
              </w:rPr>
              <w:t xml:space="preserve">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617BD6" w:rsidRPr="00897D7D" w:rsidRDefault="00617BD6" w:rsidP="00617BD6">
            <w:pPr>
              <w:spacing w:line="60" w:lineRule="atLeast"/>
              <w:ind w:left="-41"/>
              <w:jc w:val="both"/>
              <w:rPr>
                <w:rFonts w:ascii="ArialMT" w:hAnsi="ArialMT" w:cs="ArialMT"/>
                <w:sz w:val="16"/>
                <w:szCs w:val="16"/>
              </w:rPr>
            </w:pPr>
            <w:r>
              <w:rPr>
                <w:rFonts w:ascii="ArialMT" w:hAnsi="ArialMT" w:cs="ArialMT"/>
                <w:sz w:val="16"/>
                <w:szCs w:val="16"/>
              </w:rPr>
              <w:t>СП 1.03.17-2025</w:t>
            </w:r>
          </w:p>
        </w:tc>
      </w:tr>
      <w:tr w:rsidR="00097B6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097B65" w:rsidRPr="00687C80" w:rsidRDefault="00097B65" w:rsidP="00097B65">
            <w:pPr>
              <w:rPr>
                <w:b/>
                <w:bCs/>
                <w:spacing w:val="4"/>
                <w:sz w:val="16"/>
                <w:szCs w:val="16"/>
              </w:rPr>
            </w:pPr>
            <w:r w:rsidRPr="00687C80">
              <w:rPr>
                <w:b/>
                <w:bCs/>
                <w:spacing w:val="4"/>
                <w:sz w:val="16"/>
                <w:szCs w:val="16"/>
              </w:rPr>
              <w:t>Благоустройство те</w:t>
            </w:r>
            <w:r w:rsidRPr="00687C80">
              <w:rPr>
                <w:b/>
                <w:bCs/>
                <w:spacing w:val="4"/>
                <w:sz w:val="16"/>
                <w:szCs w:val="16"/>
              </w:rPr>
              <w:t>р</w:t>
            </w:r>
            <w:r w:rsidRPr="00687C80">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097B65" w:rsidRPr="00D40F7A" w:rsidRDefault="00097B65" w:rsidP="00097B65">
            <w:pPr>
              <w:spacing w:line="60" w:lineRule="atLeast"/>
              <w:jc w:val="both"/>
              <w:rPr>
                <w:rFonts w:ascii="ArialMT" w:hAnsi="ArialMT" w:cs="ArialMT"/>
                <w:sz w:val="16"/>
                <w:szCs w:val="16"/>
              </w:rPr>
            </w:pPr>
            <w:r w:rsidRPr="00D40F7A">
              <w:rPr>
                <w:rFonts w:ascii="ArialMT" w:hAnsi="ArialMT" w:cs="ArialMT"/>
                <w:sz w:val="16"/>
                <w:szCs w:val="16"/>
              </w:rPr>
              <w:t>СП 3.02.09-2025</w:t>
            </w:r>
          </w:p>
          <w:p w:rsidR="00097B65" w:rsidRPr="00D40F7A" w:rsidRDefault="00097B65" w:rsidP="00097B65">
            <w:pPr>
              <w:spacing w:line="60" w:lineRule="atLeast"/>
              <w:jc w:val="both"/>
              <w:rPr>
                <w:rFonts w:ascii="ArialMT" w:hAnsi="ArialMT" w:cs="ArialMT"/>
                <w:sz w:val="16"/>
                <w:szCs w:val="16"/>
              </w:rPr>
            </w:pPr>
            <w:r w:rsidRPr="00D40F7A">
              <w:rPr>
                <w:rFonts w:ascii="ArialMT" w:hAnsi="ArialMT" w:cs="ArialMT"/>
                <w:sz w:val="16"/>
                <w:szCs w:val="16"/>
              </w:rPr>
              <w:t>СП 3.02.10-2025</w:t>
            </w:r>
          </w:p>
          <w:p w:rsidR="00097B65" w:rsidRPr="00D40F7A" w:rsidRDefault="00097B65" w:rsidP="00097B6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97B65" w:rsidRPr="00BA1813" w:rsidRDefault="00097B65" w:rsidP="00097B65">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097B65" w:rsidRPr="00BA1813" w:rsidRDefault="00097B65" w:rsidP="00097B65">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097B65" w:rsidRPr="00BA1813" w:rsidRDefault="00097B65" w:rsidP="00097B65">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097B65" w:rsidRPr="00BA1813" w:rsidRDefault="00097B65" w:rsidP="00097B65">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097B65" w:rsidRPr="00BA1813" w:rsidRDefault="00097B65" w:rsidP="00097B65">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097B65" w:rsidRPr="00BA1813" w:rsidRDefault="00097B65" w:rsidP="00603550">
            <w:pPr>
              <w:spacing w:line="60" w:lineRule="atLeast"/>
              <w:ind w:left="-41"/>
              <w:jc w:val="both"/>
              <w:rPr>
                <w:rFonts w:ascii="ArialMT" w:hAnsi="ArialMT" w:cs="ArialMT"/>
                <w:sz w:val="16"/>
                <w:szCs w:val="16"/>
              </w:rPr>
            </w:pPr>
            <w:r w:rsidRPr="00AA27ED">
              <w:rPr>
                <w:rFonts w:ascii="ArialMT" w:hAnsi="ArialMT" w:cs="ArialMT"/>
                <w:sz w:val="16"/>
                <w:szCs w:val="16"/>
              </w:rPr>
              <w:t>СП 1.03.17-2025</w:t>
            </w:r>
            <w:r w:rsidRPr="007A494D">
              <w:rPr>
                <w:rFonts w:ascii="ArialMT" w:hAnsi="ArialMT" w:cs="ArialMT"/>
                <w:sz w:val="16"/>
                <w:szCs w:val="16"/>
              </w:rPr>
              <w:t xml:space="preserve"> </w:t>
            </w:r>
          </w:p>
        </w:tc>
      </w:tr>
      <w:tr w:rsidR="00E70178"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E70178" w:rsidRPr="0007755F" w:rsidRDefault="00E70178" w:rsidP="00E70178">
            <w:pPr>
              <w:rPr>
                <w:b/>
                <w:bCs/>
                <w:spacing w:val="4"/>
                <w:sz w:val="16"/>
                <w:szCs w:val="16"/>
              </w:rPr>
            </w:pPr>
            <w:r w:rsidRPr="0007755F">
              <w:rPr>
                <w:b/>
                <w:bCs/>
                <w:spacing w:val="4"/>
                <w:sz w:val="16"/>
                <w:szCs w:val="16"/>
              </w:rPr>
              <w:br w:type="page"/>
              <w:t>Улицы населенных пунктов</w:t>
            </w:r>
          </w:p>
          <w:p w:rsidR="00E70178" w:rsidRPr="0007755F" w:rsidRDefault="00E70178" w:rsidP="00E70178">
            <w:pPr>
              <w:rPr>
                <w:b/>
                <w:bCs/>
                <w:spacing w:val="4"/>
                <w:sz w:val="16"/>
                <w:szCs w:val="16"/>
              </w:rPr>
            </w:pPr>
          </w:p>
          <w:p w:rsidR="00E70178" w:rsidRPr="0007755F" w:rsidRDefault="00E70178" w:rsidP="00E70178">
            <w:pPr>
              <w:rPr>
                <w:b/>
                <w:bCs/>
                <w:spacing w:val="4"/>
                <w:sz w:val="16"/>
                <w:szCs w:val="16"/>
              </w:rPr>
            </w:pPr>
          </w:p>
          <w:p w:rsidR="00E70178" w:rsidRPr="0007755F" w:rsidRDefault="00E70178" w:rsidP="00E7017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70178" w:rsidRPr="00E82B9A" w:rsidRDefault="00E70178" w:rsidP="00E70178">
            <w:pPr>
              <w:spacing w:line="60" w:lineRule="atLeast"/>
              <w:jc w:val="both"/>
              <w:rPr>
                <w:rFonts w:ascii="ArialMT" w:hAnsi="ArialMT" w:cs="ArialMT"/>
                <w:sz w:val="16"/>
                <w:szCs w:val="16"/>
              </w:rPr>
            </w:pPr>
            <w:r w:rsidRPr="00E82B9A">
              <w:rPr>
                <w:rFonts w:ascii="ArialMT" w:hAnsi="ArialMT" w:cs="ArialMT"/>
                <w:sz w:val="16"/>
                <w:szCs w:val="16"/>
              </w:rPr>
              <w:t xml:space="preserve">СН 3.03.06-2022 </w:t>
            </w:r>
          </w:p>
        </w:tc>
        <w:tc>
          <w:tcPr>
            <w:tcW w:w="4111" w:type="dxa"/>
            <w:tcBorders>
              <w:top w:val="double" w:sz="6" w:space="0" w:color="auto"/>
              <w:left w:val="single" w:sz="6" w:space="0" w:color="auto"/>
              <w:bottom w:val="double" w:sz="6" w:space="0" w:color="auto"/>
              <w:right w:val="single" w:sz="6" w:space="0" w:color="auto"/>
            </w:tcBorders>
          </w:tcPr>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Основные параметры улиц населенных пунктов;</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поперечный профиль;</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план и продольный профиль;</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тротуары, пешеходные улицы и дорожки;</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велосипедные дорожки;</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остановочные пункты маршрутных пассажирских тран</w:t>
            </w:r>
            <w:r w:rsidRPr="007A494D">
              <w:rPr>
                <w:rFonts w:ascii="ArialMT" w:hAnsi="ArialMT" w:cs="ArialMT"/>
                <w:sz w:val="16"/>
                <w:szCs w:val="16"/>
              </w:rPr>
              <w:t>с</w:t>
            </w:r>
            <w:r w:rsidRPr="007A494D">
              <w:rPr>
                <w:rFonts w:ascii="ArialMT" w:hAnsi="ArialMT" w:cs="ArialMT"/>
                <w:sz w:val="16"/>
                <w:szCs w:val="16"/>
              </w:rPr>
              <w:t>портных средств;</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автомобильные стоянки и парковки;</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пересечения и примыкания;</w:t>
            </w:r>
          </w:p>
          <w:p w:rsidR="00E70178" w:rsidRPr="00A34659" w:rsidRDefault="00E70178" w:rsidP="00E70178">
            <w:pPr>
              <w:spacing w:line="60" w:lineRule="atLeast"/>
              <w:jc w:val="both"/>
              <w:rPr>
                <w:rFonts w:ascii="ArialMT" w:hAnsi="ArialMT" w:cs="ArialMT"/>
                <w:sz w:val="16"/>
                <w:szCs w:val="16"/>
              </w:rPr>
            </w:pPr>
            <w:r w:rsidRPr="007A494D">
              <w:rPr>
                <w:rFonts w:ascii="ArialMT" w:hAnsi="ArialMT" w:cs="ArialMT"/>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E70178" w:rsidRPr="00A34659" w:rsidRDefault="00E70178" w:rsidP="00E70178">
            <w:pPr>
              <w:spacing w:line="60" w:lineRule="atLeast"/>
              <w:ind w:left="-41"/>
              <w:jc w:val="both"/>
              <w:rPr>
                <w:rFonts w:ascii="ArialMT" w:hAnsi="ArialMT" w:cs="ArialMT"/>
                <w:sz w:val="16"/>
                <w:szCs w:val="16"/>
              </w:rPr>
            </w:pPr>
            <w:r w:rsidRPr="00A34659">
              <w:rPr>
                <w:rFonts w:ascii="ArialMT" w:hAnsi="ArialMT" w:cs="ArialMT"/>
                <w:sz w:val="16"/>
                <w:szCs w:val="16"/>
              </w:rPr>
              <w:t xml:space="preserve">ГОСТ 26433.0-85 </w:t>
            </w:r>
          </w:p>
          <w:p w:rsidR="00E70178" w:rsidRPr="00A34659" w:rsidRDefault="00E70178" w:rsidP="00E70178">
            <w:pPr>
              <w:spacing w:line="60" w:lineRule="atLeast"/>
              <w:ind w:left="-41"/>
              <w:jc w:val="both"/>
              <w:rPr>
                <w:rFonts w:ascii="ArialMT" w:hAnsi="ArialMT" w:cs="ArialMT"/>
                <w:sz w:val="16"/>
                <w:szCs w:val="16"/>
              </w:rPr>
            </w:pPr>
            <w:r w:rsidRPr="00A34659">
              <w:rPr>
                <w:rFonts w:ascii="ArialMT" w:hAnsi="ArialMT" w:cs="ArialMT"/>
                <w:sz w:val="16"/>
                <w:szCs w:val="16"/>
              </w:rPr>
              <w:t xml:space="preserve">ГОСТ 26433.2-94 </w:t>
            </w:r>
          </w:p>
        </w:tc>
      </w:tr>
      <w:tr w:rsidR="00E70178"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E70178" w:rsidRPr="00E82B9A" w:rsidRDefault="00E70178" w:rsidP="00E70178">
            <w:pPr>
              <w:rPr>
                <w:b/>
                <w:bCs/>
                <w:spacing w:val="4"/>
                <w:sz w:val="16"/>
                <w:szCs w:val="16"/>
              </w:rPr>
            </w:pPr>
            <w:r w:rsidRPr="00E82B9A">
              <w:rPr>
                <w:b/>
                <w:bCs/>
                <w:spacing w:val="4"/>
                <w:sz w:val="16"/>
                <w:szCs w:val="16"/>
              </w:rPr>
              <w:t>Устройство автом</w:t>
            </w:r>
            <w:r w:rsidRPr="00E82B9A">
              <w:rPr>
                <w:b/>
                <w:bCs/>
                <w:spacing w:val="4"/>
                <w:sz w:val="16"/>
                <w:szCs w:val="16"/>
              </w:rPr>
              <w:t>о</w:t>
            </w:r>
            <w:r w:rsidRPr="00E82B9A">
              <w:rPr>
                <w:b/>
                <w:bCs/>
                <w:spacing w:val="4"/>
                <w:sz w:val="16"/>
                <w:szCs w:val="16"/>
              </w:rPr>
              <w:t>бильных дорог</w:t>
            </w:r>
          </w:p>
        </w:tc>
        <w:tc>
          <w:tcPr>
            <w:tcW w:w="1701" w:type="dxa"/>
            <w:tcBorders>
              <w:top w:val="double" w:sz="6" w:space="0" w:color="auto"/>
              <w:left w:val="single" w:sz="6" w:space="0" w:color="auto"/>
              <w:bottom w:val="double" w:sz="6" w:space="0" w:color="auto"/>
              <w:right w:val="single" w:sz="6" w:space="0" w:color="auto"/>
            </w:tcBorders>
          </w:tcPr>
          <w:p w:rsidR="00E70178" w:rsidRDefault="00E70178" w:rsidP="00E70178">
            <w:pPr>
              <w:spacing w:line="60" w:lineRule="atLeast"/>
              <w:jc w:val="both"/>
              <w:rPr>
                <w:rFonts w:ascii="ArialMT" w:hAnsi="ArialMT" w:cs="ArialMT"/>
                <w:sz w:val="16"/>
                <w:szCs w:val="16"/>
              </w:rPr>
            </w:pPr>
            <w:r w:rsidRPr="00E82B9A">
              <w:rPr>
                <w:rFonts w:ascii="ArialMT" w:hAnsi="ArialMT" w:cs="ArialMT"/>
                <w:sz w:val="16"/>
                <w:szCs w:val="16"/>
              </w:rPr>
              <w:t xml:space="preserve">ТКП 059.1-2020 </w:t>
            </w:r>
          </w:p>
          <w:p w:rsidR="00E70178" w:rsidRDefault="00E70178" w:rsidP="00E70178">
            <w:pPr>
              <w:spacing w:line="60" w:lineRule="atLeast"/>
              <w:jc w:val="both"/>
              <w:rPr>
                <w:rFonts w:ascii="ArialMT" w:hAnsi="ArialMT" w:cs="ArialMT"/>
                <w:sz w:val="16"/>
                <w:szCs w:val="16"/>
              </w:rPr>
            </w:pPr>
            <w:r w:rsidRPr="00E82B9A">
              <w:rPr>
                <w:rFonts w:ascii="ArialMT" w:hAnsi="ArialMT" w:cs="ArialMT"/>
                <w:sz w:val="16"/>
                <w:szCs w:val="16"/>
              </w:rPr>
              <w:t xml:space="preserve">ТКП 094-2021 </w:t>
            </w:r>
          </w:p>
          <w:p w:rsidR="00E70178" w:rsidRPr="00E82B9A" w:rsidRDefault="00E70178" w:rsidP="00E70178">
            <w:pPr>
              <w:spacing w:line="60" w:lineRule="atLeast"/>
              <w:jc w:val="both"/>
              <w:rPr>
                <w:rFonts w:ascii="ArialMT" w:hAnsi="ArialMT" w:cs="ArialMT"/>
                <w:sz w:val="16"/>
                <w:szCs w:val="16"/>
              </w:rPr>
            </w:pPr>
            <w:r w:rsidRPr="00E82B9A">
              <w:rPr>
                <w:rFonts w:ascii="ArialMT" w:hAnsi="ArialMT" w:cs="ArialMT"/>
                <w:sz w:val="16"/>
                <w:szCs w:val="16"/>
              </w:rPr>
              <w:t xml:space="preserve">ТКП 313-2021 </w:t>
            </w:r>
          </w:p>
        </w:tc>
        <w:tc>
          <w:tcPr>
            <w:tcW w:w="4111" w:type="dxa"/>
            <w:tcBorders>
              <w:top w:val="double" w:sz="6" w:space="0" w:color="auto"/>
              <w:left w:val="single" w:sz="6" w:space="0" w:color="auto"/>
              <w:bottom w:val="double" w:sz="6" w:space="0" w:color="auto"/>
              <w:right w:val="single" w:sz="6" w:space="0" w:color="auto"/>
            </w:tcBorders>
          </w:tcPr>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Сооружение земляного полотна;</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дополнительные слои оснований;</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щебеночные, гравийные, шлаковые основания и покр</w:t>
            </w:r>
            <w:r w:rsidRPr="007A494D">
              <w:rPr>
                <w:rFonts w:ascii="ArialMT" w:hAnsi="ArialMT" w:cs="ArialMT"/>
                <w:sz w:val="16"/>
                <w:szCs w:val="16"/>
              </w:rPr>
              <w:t>ы</w:t>
            </w:r>
            <w:r w:rsidRPr="007A494D">
              <w:rPr>
                <w:rFonts w:ascii="ArialMT" w:hAnsi="ArialMT" w:cs="ArialMT"/>
                <w:sz w:val="16"/>
                <w:szCs w:val="16"/>
              </w:rPr>
              <w:t>тия;</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основания и покрытия из грунтов и каменных матери</w:t>
            </w:r>
            <w:r w:rsidRPr="007A494D">
              <w:rPr>
                <w:rFonts w:ascii="ArialMT" w:hAnsi="ArialMT" w:cs="ArialMT"/>
                <w:sz w:val="16"/>
                <w:szCs w:val="16"/>
              </w:rPr>
              <w:t>а</w:t>
            </w:r>
            <w:r w:rsidRPr="007A494D">
              <w:rPr>
                <w:rFonts w:ascii="ArialMT" w:hAnsi="ArialMT" w:cs="ArialMT"/>
                <w:sz w:val="16"/>
                <w:szCs w:val="16"/>
              </w:rPr>
              <w:t>лов, укрепленных неорганическими вяжущими матери</w:t>
            </w:r>
            <w:r w:rsidRPr="007A494D">
              <w:rPr>
                <w:rFonts w:ascii="ArialMT" w:hAnsi="ArialMT" w:cs="ArialMT"/>
                <w:sz w:val="16"/>
                <w:szCs w:val="16"/>
              </w:rPr>
              <w:t>а</w:t>
            </w:r>
            <w:r w:rsidRPr="007A494D">
              <w:rPr>
                <w:rFonts w:ascii="ArialMT" w:hAnsi="ArialMT" w:cs="ArialMT"/>
                <w:sz w:val="16"/>
                <w:szCs w:val="16"/>
              </w:rPr>
              <w:t>лами;</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основания и покрытия из щебеночных, гравийных и песчаных материалов, укрепленных неорганическими вяжущими материалами;</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основания и покрытия из щебня, щебеночных и грави</w:t>
            </w:r>
            <w:r w:rsidRPr="007A494D">
              <w:rPr>
                <w:rFonts w:ascii="ArialMT" w:hAnsi="ArialMT" w:cs="ArialMT"/>
                <w:sz w:val="16"/>
                <w:szCs w:val="16"/>
              </w:rPr>
              <w:t>й</w:t>
            </w:r>
            <w:r w:rsidRPr="007A494D">
              <w:rPr>
                <w:rFonts w:ascii="ArialMT" w:hAnsi="ArialMT" w:cs="ArialMT"/>
                <w:sz w:val="16"/>
                <w:szCs w:val="16"/>
              </w:rPr>
              <w:t>ных смесей, обработанных органическими вяжущими материалами;</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 xml:space="preserve">асфальтобетонные покрытия и основания; </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цементобетонные покрытия и основания;</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устройство защитных слоев покрытий;</w:t>
            </w:r>
          </w:p>
          <w:p w:rsidR="00E70178" w:rsidRPr="007A494D" w:rsidRDefault="00E70178" w:rsidP="00E70178">
            <w:pPr>
              <w:pStyle w:val="a5"/>
              <w:spacing w:line="60" w:lineRule="atLeast"/>
              <w:jc w:val="both"/>
              <w:rPr>
                <w:rFonts w:ascii="ArialMT" w:hAnsi="ArialMT" w:cs="ArialMT"/>
                <w:sz w:val="16"/>
                <w:szCs w:val="16"/>
              </w:rPr>
            </w:pPr>
            <w:r w:rsidRPr="007A494D">
              <w:rPr>
                <w:rFonts w:ascii="ArialMT" w:hAnsi="ArialMT" w:cs="ArialMT"/>
                <w:sz w:val="16"/>
                <w:szCs w:val="16"/>
              </w:rPr>
              <w:t>обустройство дороги.</w:t>
            </w:r>
          </w:p>
        </w:tc>
        <w:tc>
          <w:tcPr>
            <w:tcW w:w="1701" w:type="dxa"/>
            <w:tcBorders>
              <w:top w:val="double" w:sz="6" w:space="0" w:color="auto"/>
              <w:left w:val="single" w:sz="6" w:space="0" w:color="auto"/>
              <w:bottom w:val="double" w:sz="6" w:space="0" w:color="auto"/>
              <w:right w:val="single" w:sz="6" w:space="0" w:color="auto"/>
            </w:tcBorders>
          </w:tcPr>
          <w:p w:rsidR="00E70178" w:rsidRPr="00A34659" w:rsidRDefault="00E70178" w:rsidP="00F60A3B">
            <w:pPr>
              <w:spacing w:line="60" w:lineRule="atLeast"/>
              <w:ind w:left="-41"/>
              <w:rPr>
                <w:rFonts w:ascii="ArialMT" w:hAnsi="ArialMT" w:cs="ArialMT"/>
                <w:sz w:val="16"/>
                <w:szCs w:val="16"/>
              </w:rPr>
            </w:pPr>
            <w:r w:rsidRPr="00A34659">
              <w:rPr>
                <w:rFonts w:ascii="ArialMT" w:hAnsi="ArialMT" w:cs="ArialMT"/>
                <w:sz w:val="16"/>
                <w:szCs w:val="16"/>
              </w:rPr>
              <w:t>ГОСТ 26433.0-85 ГОСТ 26433.2-94</w:t>
            </w:r>
          </w:p>
        </w:tc>
      </w:tr>
    </w:tbl>
    <w:p w:rsidR="00804581" w:rsidRDefault="00804581"/>
    <w:sectPr w:rsidR="00804581" w:rsidSect="00E74D7F">
      <w:headerReference w:type="even" r:id="rId9"/>
      <w:headerReference w:type="default" r:id="rId10"/>
      <w:footerReference w:type="even" r:id="rId11"/>
      <w:footerReference w:type="default" r:id="rId12"/>
      <w:headerReference w:type="first" r:id="rId13"/>
      <w:footerReference w:type="first" r:id="rId14"/>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705" w:rsidRDefault="00766705">
      <w:r>
        <w:separator/>
      </w:r>
    </w:p>
  </w:endnote>
  <w:endnote w:type="continuationSeparator" w:id="0">
    <w:p w:rsidR="00766705" w:rsidRDefault="0076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A3B" w:rsidRDefault="00F60A3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F567F4" w:rsidRDefault="0001755A" w:rsidP="00F567F4">
    <w:pPr>
      <w:pStyle w:val="a4"/>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A3B" w:rsidRDefault="00F60A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705" w:rsidRDefault="00766705">
      <w:r>
        <w:separator/>
      </w:r>
    </w:p>
  </w:footnote>
  <w:footnote w:type="continuationSeparator" w:id="0">
    <w:p w:rsidR="00766705" w:rsidRDefault="00766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9604A1" w:rsidRDefault="009604A1" w:rsidP="009604A1">
    <w:pPr>
      <w:ind w:left="4320"/>
      <w:rPr>
        <w:sz w:val="18"/>
        <w:szCs w:val="18"/>
      </w:rPr>
    </w:pPr>
    <w:r>
      <w:rPr>
        <w:b/>
        <w:sz w:val="18"/>
        <w:szCs w:val="18"/>
      </w:rPr>
      <w:t>Приложение</w:t>
    </w:r>
    <w:r>
      <w:rPr>
        <w:sz w:val="18"/>
        <w:szCs w:val="18"/>
      </w:rPr>
      <w:t xml:space="preserve"> </w:t>
    </w:r>
    <w:r>
      <w:rPr>
        <w:b/>
        <w:sz w:val="18"/>
        <w:szCs w:val="18"/>
      </w:rPr>
      <w:t xml:space="preserve"> </w:t>
    </w:r>
    <w:r>
      <w:rPr>
        <w:sz w:val="18"/>
        <w:szCs w:val="18"/>
      </w:rPr>
      <w:t>к свидетельству о технической компетентности</w:t>
    </w:r>
  </w:p>
  <w:p w:rsidR="0001755A" w:rsidRPr="00706A04" w:rsidRDefault="009604A1" w:rsidP="009604A1">
    <w:pPr>
      <w:ind w:left="4320"/>
      <w:rPr>
        <w:sz w:val="18"/>
        <w:szCs w:val="18"/>
      </w:rPr>
    </w:pPr>
    <w:r>
      <w:rPr>
        <w:sz w:val="18"/>
        <w:szCs w:val="18"/>
      </w:rPr>
      <w:t>системы производственного контроля</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F60A3B">
      <w:rPr>
        <w:sz w:val="28"/>
        <w:szCs w:val="28"/>
        <w:u w:val="single"/>
      </w:rPr>
      <w:t>1816</w:t>
    </w:r>
    <w:r>
      <w:rPr>
        <w:sz w:val="28"/>
        <w:szCs w:val="28"/>
        <w:u w:val="single"/>
      </w:rPr>
      <w:t xml:space="preserve"> </w:t>
    </w:r>
    <w:r w:rsidRPr="00316932">
      <w:rPr>
        <w:sz w:val="28"/>
        <w:szCs w:val="28"/>
        <w:u w:val="single"/>
      </w:rPr>
      <w:t>-20</w:t>
    </w:r>
    <w:r>
      <w:rPr>
        <w:sz w:val="28"/>
        <w:szCs w:val="28"/>
        <w:u w:val="single"/>
      </w:rPr>
      <w:t>2</w:t>
    </w:r>
    <w:r w:rsidR="008F14DF">
      <w:rPr>
        <w:sz w:val="28"/>
        <w:szCs w:val="28"/>
        <w:u w:val="single"/>
      </w:rPr>
      <w:t>6</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452717">
      <w:rPr>
        <w:sz w:val="28"/>
        <w:u w:val="single"/>
      </w:rPr>
      <w:t>23</w:t>
    </w:r>
    <w:r w:rsidRPr="00316932">
      <w:rPr>
        <w:sz w:val="28"/>
        <w:u w:val="single"/>
      </w:rPr>
      <w:t xml:space="preserve"> </w:t>
    </w:r>
    <w:r w:rsidRPr="00316932">
      <w:rPr>
        <w:sz w:val="24"/>
        <w:szCs w:val="24"/>
      </w:rPr>
      <w:t>»</w:t>
    </w:r>
    <w:r w:rsidRPr="00316932">
      <w:rPr>
        <w:sz w:val="28"/>
        <w:u w:val="single"/>
      </w:rPr>
      <w:t xml:space="preserve"> </w:t>
    </w:r>
    <w:r w:rsidR="00452717">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8F14DF">
      <w:rPr>
        <w:sz w:val="28"/>
        <w:szCs w:val="28"/>
        <w:u w:val="single"/>
      </w:rPr>
      <w:t>6</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F567F4">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F567F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F60A3B" w:rsidRDefault="00F60A3B" w:rsidP="00F60A3B">
    <w:pPr>
      <w:jc w:val="center"/>
      <w:rPr>
        <w:sz w:val="32"/>
        <w:szCs w:val="32"/>
      </w:rPr>
    </w:pPr>
    <w:r>
      <w:rPr>
        <w:sz w:val="32"/>
        <w:szCs w:val="32"/>
      </w:rPr>
      <w:t xml:space="preserve">Государственного производственного объединения </w:t>
    </w:r>
  </w:p>
  <w:p w:rsidR="0001755A" w:rsidRPr="00F36231" w:rsidRDefault="00F60A3B" w:rsidP="00F60A3B">
    <w:pPr>
      <w:jc w:val="center"/>
      <w:rPr>
        <w:sz w:val="28"/>
        <w:szCs w:val="28"/>
      </w:rPr>
    </w:pPr>
    <w:r>
      <w:rPr>
        <w:sz w:val="32"/>
        <w:szCs w:val="32"/>
      </w:rPr>
      <w:t>«</w:t>
    </w:r>
    <w:proofErr w:type="spellStart"/>
    <w:r>
      <w:rPr>
        <w:sz w:val="32"/>
        <w:szCs w:val="32"/>
      </w:rPr>
      <w:t>Горремавтодор</w:t>
    </w:r>
    <w:proofErr w:type="spellEnd"/>
    <w:r>
      <w:rPr>
        <w:sz w:val="32"/>
        <w:szCs w:val="32"/>
      </w:rPr>
      <w:t xml:space="preserve"> </w:t>
    </w:r>
    <w:proofErr w:type="spellStart"/>
    <w:r>
      <w:rPr>
        <w:sz w:val="32"/>
        <w:szCs w:val="32"/>
      </w:rPr>
      <w:t>Мингорисполкома</w:t>
    </w:r>
    <w:proofErr w:type="spellEnd"/>
    <w:r>
      <w:rPr>
        <w:sz w:val="32"/>
        <w:szCs w:val="32"/>
      </w:rPr>
      <w:t>»</w:t>
    </w:r>
  </w:p>
  <w:p w:rsidR="0001755A" w:rsidRDefault="0071771A"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1B49A688" wp14:editId="73866594">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14:anchorId="05F3C51F" wp14:editId="73DDEE88">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707D0" w:rsidRPr="004E2B6E">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B83F26" w:rsidRDefault="0001755A">
    <w:pPr>
      <w:pStyle w:val="a5"/>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A3B" w:rsidRDefault="00F60A3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A7CBE"/>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6CE"/>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66705"/>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5EE"/>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567F4"/>
    <w:rsid w:val="00F60A3B"/>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F256-C00B-4D9D-BBE5-7699C496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1577</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3</cp:revision>
  <cp:lastPrinted>2026-02-18T08:14:00Z</cp:lastPrinted>
  <dcterms:created xsi:type="dcterms:W3CDTF">2026-03-23T10:38:00Z</dcterms:created>
  <dcterms:modified xsi:type="dcterms:W3CDTF">2026-03-23T10:39:00Z</dcterms:modified>
</cp:coreProperties>
</file>