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B4004B" w:rsidRPr="0059407F" w:rsidTr="00EA5D05">
        <w:trPr>
          <w:trHeight w:val="916"/>
        </w:trPr>
        <w:tc>
          <w:tcPr>
            <w:tcW w:w="2127" w:type="dxa"/>
            <w:tcBorders>
              <w:top w:val="double" w:sz="6" w:space="0" w:color="auto"/>
              <w:left w:val="single" w:sz="6" w:space="0" w:color="auto"/>
              <w:right w:val="single" w:sz="6" w:space="0" w:color="auto"/>
            </w:tcBorders>
            <w:shd w:val="clear" w:color="auto" w:fill="auto"/>
          </w:tcPr>
          <w:p w:rsidR="00B4004B" w:rsidRDefault="00B4004B" w:rsidP="00B4004B">
            <w:pPr>
              <w:spacing w:line="192" w:lineRule="auto"/>
              <w:rPr>
                <w:b/>
                <w:sz w:val="18"/>
                <w:szCs w:val="18"/>
              </w:rPr>
            </w:pPr>
            <w:bookmarkStart w:id="0" w:name="_GoBack"/>
            <w:bookmarkEnd w:id="0"/>
            <w:r>
              <w:rPr>
                <w:b/>
                <w:sz w:val="18"/>
                <w:szCs w:val="18"/>
              </w:rPr>
              <w:t>Блоки дверные внутренние из алюминиевого профиля</w:t>
            </w:r>
          </w:p>
        </w:tc>
        <w:tc>
          <w:tcPr>
            <w:tcW w:w="2126" w:type="dxa"/>
            <w:tcBorders>
              <w:top w:val="double" w:sz="6" w:space="0" w:color="auto"/>
              <w:left w:val="single" w:sz="6" w:space="0" w:color="auto"/>
              <w:right w:val="single" w:sz="6" w:space="0" w:color="auto"/>
            </w:tcBorders>
            <w:shd w:val="clear" w:color="auto" w:fill="auto"/>
          </w:tcPr>
          <w:p w:rsidR="00B4004B" w:rsidRDefault="00B4004B" w:rsidP="00B4004B">
            <w:pPr>
              <w:spacing w:line="192" w:lineRule="auto"/>
              <w:ind w:left="-17" w:right="-17"/>
              <w:rPr>
                <w:sz w:val="18"/>
                <w:szCs w:val="18"/>
              </w:rPr>
            </w:pPr>
            <w:r>
              <w:rPr>
                <w:color w:val="000000"/>
                <w:sz w:val="18"/>
                <w:szCs w:val="18"/>
                <w:shd w:val="clear" w:color="auto" w:fill="FFFFFF"/>
              </w:rPr>
              <w:t>СТБ 2433-2015</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4004B" w:rsidRPr="00B4004B" w:rsidRDefault="00B4004B" w:rsidP="00B4004B">
            <w:pPr>
              <w:spacing w:line="192" w:lineRule="auto"/>
              <w:ind w:left="-17" w:right="-17"/>
              <w:jc w:val="both"/>
              <w:rPr>
                <w:spacing w:val="-10"/>
                <w:sz w:val="18"/>
                <w:szCs w:val="18"/>
              </w:rPr>
            </w:pPr>
            <w:r w:rsidRPr="00B4004B">
              <w:rPr>
                <w:spacing w:val="-10"/>
                <w:sz w:val="18"/>
                <w:szCs w:val="18"/>
              </w:rPr>
              <w:t>Отбор проб.</w:t>
            </w:r>
          </w:p>
          <w:p w:rsidR="00B4004B" w:rsidRPr="00B4004B" w:rsidRDefault="00B4004B" w:rsidP="00B4004B">
            <w:pPr>
              <w:spacing w:line="192" w:lineRule="auto"/>
              <w:ind w:left="-17" w:right="-17"/>
              <w:jc w:val="both"/>
              <w:rPr>
                <w:spacing w:val="-10"/>
                <w:sz w:val="18"/>
                <w:szCs w:val="18"/>
              </w:rPr>
            </w:pPr>
            <w:r w:rsidRPr="00B4004B">
              <w:rPr>
                <w:spacing w:val="-10"/>
                <w:sz w:val="18"/>
                <w:szCs w:val="18"/>
              </w:rPr>
              <w:t>Отклонение от номинальных размеров.</w:t>
            </w:r>
          </w:p>
          <w:p w:rsidR="00B4004B" w:rsidRPr="00B4004B" w:rsidRDefault="00B4004B" w:rsidP="00B4004B">
            <w:pPr>
              <w:spacing w:line="192" w:lineRule="auto"/>
              <w:ind w:left="-17" w:right="-17"/>
              <w:jc w:val="both"/>
              <w:rPr>
                <w:spacing w:val="-10"/>
                <w:sz w:val="18"/>
                <w:szCs w:val="18"/>
              </w:rPr>
            </w:pPr>
            <w:r w:rsidRPr="00B4004B">
              <w:rPr>
                <w:spacing w:val="-10"/>
                <w:sz w:val="18"/>
                <w:szCs w:val="18"/>
              </w:rPr>
              <w:t>Отклонение от плоскостности.</w:t>
            </w:r>
          </w:p>
          <w:p w:rsidR="00B4004B" w:rsidRPr="00B4004B" w:rsidRDefault="00B4004B" w:rsidP="00B4004B">
            <w:pPr>
              <w:spacing w:line="192" w:lineRule="auto"/>
              <w:ind w:left="-17" w:right="-17"/>
              <w:jc w:val="both"/>
              <w:rPr>
                <w:spacing w:val="-10"/>
                <w:sz w:val="18"/>
                <w:szCs w:val="18"/>
              </w:rPr>
            </w:pPr>
            <w:r w:rsidRPr="00B4004B">
              <w:rPr>
                <w:spacing w:val="-10"/>
                <w:sz w:val="18"/>
                <w:szCs w:val="18"/>
              </w:rPr>
              <w:t>Отклонение от прямолинейности.</w:t>
            </w:r>
          </w:p>
          <w:p w:rsidR="00B4004B" w:rsidRPr="00B4004B" w:rsidRDefault="00B4004B" w:rsidP="00B4004B">
            <w:pPr>
              <w:spacing w:line="192" w:lineRule="auto"/>
              <w:ind w:left="-17" w:right="-17"/>
              <w:jc w:val="both"/>
              <w:rPr>
                <w:spacing w:val="-10"/>
                <w:sz w:val="18"/>
                <w:szCs w:val="18"/>
              </w:rPr>
            </w:pPr>
            <w:r w:rsidRPr="00B4004B">
              <w:rPr>
                <w:spacing w:val="-10"/>
                <w:sz w:val="18"/>
                <w:szCs w:val="18"/>
              </w:rPr>
              <w:t>Разность длин диагоналей.</w:t>
            </w:r>
          </w:p>
          <w:p w:rsidR="00B4004B" w:rsidRPr="00B4004B" w:rsidRDefault="00B4004B" w:rsidP="00B4004B">
            <w:pPr>
              <w:spacing w:line="192" w:lineRule="auto"/>
              <w:ind w:left="-17" w:right="-17"/>
              <w:jc w:val="both"/>
              <w:rPr>
                <w:spacing w:val="-10"/>
                <w:sz w:val="18"/>
                <w:szCs w:val="18"/>
              </w:rPr>
            </w:pPr>
            <w:r w:rsidRPr="00B4004B">
              <w:rPr>
                <w:spacing w:val="-10"/>
                <w:sz w:val="18"/>
                <w:szCs w:val="18"/>
              </w:rPr>
              <w:t>Внешний вид.</w:t>
            </w:r>
          </w:p>
          <w:p w:rsidR="00B4004B" w:rsidRPr="00B4004B" w:rsidRDefault="00B4004B" w:rsidP="00B4004B">
            <w:pPr>
              <w:spacing w:line="192" w:lineRule="auto"/>
              <w:ind w:left="-17" w:right="-17"/>
              <w:jc w:val="both"/>
              <w:rPr>
                <w:spacing w:val="-10"/>
                <w:sz w:val="18"/>
                <w:szCs w:val="18"/>
              </w:rPr>
            </w:pPr>
            <w:r w:rsidRPr="00B4004B">
              <w:rPr>
                <w:spacing w:val="-10"/>
                <w:sz w:val="18"/>
                <w:szCs w:val="18"/>
              </w:rPr>
              <w:t xml:space="preserve">Прочность сцепления </w:t>
            </w:r>
            <w:r>
              <w:rPr>
                <w:spacing w:val="-10"/>
                <w:sz w:val="18"/>
                <w:szCs w:val="18"/>
              </w:rPr>
              <w:t xml:space="preserve">(адгезия) </w:t>
            </w:r>
            <w:r w:rsidRPr="00B4004B">
              <w:rPr>
                <w:spacing w:val="-10"/>
                <w:sz w:val="18"/>
                <w:szCs w:val="18"/>
              </w:rPr>
              <w:t>лакокрасочных покрытий с отделываемой поверхностью.</w:t>
            </w:r>
          </w:p>
          <w:p w:rsidR="00B4004B" w:rsidRPr="00B4004B" w:rsidRDefault="00B4004B" w:rsidP="00B4004B">
            <w:pPr>
              <w:spacing w:line="192" w:lineRule="auto"/>
              <w:ind w:left="-17" w:right="-17"/>
              <w:jc w:val="both"/>
              <w:rPr>
                <w:spacing w:val="-10"/>
                <w:sz w:val="18"/>
                <w:szCs w:val="18"/>
              </w:rPr>
            </w:pPr>
            <w:r w:rsidRPr="00B4004B">
              <w:rPr>
                <w:spacing w:val="-10"/>
                <w:sz w:val="18"/>
                <w:szCs w:val="18"/>
              </w:rPr>
              <w:t>Комплектность.</w:t>
            </w:r>
          </w:p>
          <w:p w:rsidR="00B4004B" w:rsidRPr="00B4004B" w:rsidRDefault="00B4004B" w:rsidP="00B4004B">
            <w:pPr>
              <w:spacing w:line="192" w:lineRule="auto"/>
              <w:ind w:left="-17" w:right="-17"/>
              <w:jc w:val="both"/>
              <w:rPr>
                <w:spacing w:val="-10"/>
                <w:sz w:val="18"/>
                <w:szCs w:val="18"/>
              </w:rPr>
            </w:pPr>
            <w:r w:rsidRPr="00B4004B">
              <w:rPr>
                <w:spacing w:val="-10"/>
                <w:sz w:val="18"/>
                <w:szCs w:val="18"/>
              </w:rPr>
              <w:t>Маркировка.</w:t>
            </w:r>
          </w:p>
          <w:p w:rsidR="00B4004B" w:rsidRDefault="00B4004B" w:rsidP="00B4004B">
            <w:pPr>
              <w:spacing w:line="192" w:lineRule="auto"/>
              <w:ind w:left="-17" w:right="-17"/>
              <w:jc w:val="both"/>
              <w:rPr>
                <w:sz w:val="18"/>
                <w:szCs w:val="18"/>
              </w:rPr>
            </w:pPr>
            <w:r w:rsidRPr="00B4004B">
              <w:rPr>
                <w:spacing w:val="-10"/>
                <w:sz w:val="18"/>
                <w:szCs w:val="18"/>
              </w:rPr>
              <w:t>Упаковка.</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4004B" w:rsidRPr="00FC7A42" w:rsidRDefault="00B4004B" w:rsidP="00B4004B">
            <w:pPr>
              <w:spacing w:line="192" w:lineRule="auto"/>
              <w:ind w:left="-17" w:right="-17"/>
              <w:rPr>
                <w:sz w:val="18"/>
                <w:szCs w:val="18"/>
              </w:rPr>
            </w:pPr>
            <w:r w:rsidRPr="00FC7A42">
              <w:rPr>
                <w:sz w:val="18"/>
                <w:szCs w:val="18"/>
              </w:rPr>
              <w:t>СТБ 2433-2015</w:t>
            </w:r>
          </w:p>
          <w:p w:rsidR="00B4004B" w:rsidRPr="00FC7A42" w:rsidRDefault="00B4004B" w:rsidP="00B4004B">
            <w:pPr>
              <w:spacing w:line="192" w:lineRule="auto"/>
              <w:ind w:left="-17" w:right="-17"/>
              <w:rPr>
                <w:sz w:val="18"/>
                <w:szCs w:val="18"/>
              </w:rPr>
            </w:pPr>
            <w:r w:rsidRPr="00FC7A42">
              <w:rPr>
                <w:sz w:val="18"/>
                <w:szCs w:val="18"/>
              </w:rPr>
              <w:t>СТБ 1457-2024</w:t>
            </w:r>
          </w:p>
          <w:p w:rsidR="00B4004B" w:rsidRPr="00FC7A42" w:rsidRDefault="00B4004B" w:rsidP="00B4004B">
            <w:pPr>
              <w:autoSpaceDE w:val="0"/>
              <w:autoSpaceDN w:val="0"/>
              <w:adjustRightInd w:val="0"/>
              <w:rPr>
                <w:sz w:val="18"/>
                <w:szCs w:val="18"/>
              </w:rPr>
            </w:pPr>
            <w:r w:rsidRPr="00FC7A42">
              <w:rPr>
                <w:sz w:val="18"/>
                <w:szCs w:val="18"/>
              </w:rPr>
              <w:t>ГОСТ 26433.1-89</w:t>
            </w:r>
          </w:p>
          <w:p w:rsidR="00B4004B" w:rsidRDefault="00B4004B" w:rsidP="00B4004B">
            <w:pPr>
              <w:spacing w:line="192" w:lineRule="auto"/>
              <w:ind w:left="-17" w:right="-17"/>
              <w:rPr>
                <w:sz w:val="18"/>
                <w:szCs w:val="18"/>
              </w:rPr>
            </w:pPr>
            <w:r w:rsidRPr="00FC7A42">
              <w:rPr>
                <w:sz w:val="18"/>
                <w:szCs w:val="18"/>
              </w:rPr>
              <w:t>ГОСТ 15140-78</w:t>
            </w:r>
          </w:p>
        </w:tc>
      </w:tr>
    </w:tbl>
    <w:p w:rsidR="007A3FB9" w:rsidRPr="00D801E8" w:rsidRDefault="007A3FB9" w:rsidP="00E573FC"/>
    <w:sectPr w:rsidR="007A3FB9" w:rsidRPr="00D801E8" w:rsidSect="00FC7A42">
      <w:headerReference w:type="even" r:id="rId8"/>
      <w:headerReference w:type="default" r:id="rId9"/>
      <w:footerReference w:type="default" r:id="rId10"/>
      <w:pgSz w:w="11906" w:h="16838"/>
      <w:pgMar w:top="3090" w:right="992" w:bottom="1843" w:left="1304" w:header="720" w:footer="78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3E10" w:rsidRDefault="00283E10">
      <w:r>
        <w:separator/>
      </w:r>
    </w:p>
  </w:endnote>
  <w:endnote w:type="continuationSeparator" w:id="0">
    <w:p w:rsidR="00283E10" w:rsidRDefault="002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06D" w:rsidRDefault="006C306D" w:rsidP="00D54161">
    <w:pPr>
      <w:ind w:firstLine="426"/>
      <w:jc w:val="both"/>
      <w:rPr>
        <w:sz w:val="22"/>
        <w:szCs w:val="22"/>
      </w:rPr>
    </w:pPr>
    <w:r>
      <w:rPr>
        <w:sz w:val="22"/>
        <w:szCs w:val="22"/>
      </w:rPr>
      <w:t xml:space="preserve">Начальник службы </w:t>
    </w:r>
  </w:p>
  <w:p w:rsidR="004C1FBA" w:rsidRPr="004A5D9F" w:rsidRDefault="006C306D" w:rsidP="00D54161">
    <w:pPr>
      <w:ind w:firstLine="426"/>
      <w:jc w:val="both"/>
      <w:rPr>
        <w:sz w:val="22"/>
        <w:szCs w:val="22"/>
      </w:rPr>
    </w:pPr>
    <w:r>
      <w:rPr>
        <w:sz w:val="22"/>
        <w:szCs w:val="22"/>
      </w:rPr>
      <w:t>по оказанию услуг в строительстве</w:t>
    </w:r>
  </w:p>
  <w:p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3E10" w:rsidRDefault="00283E10">
      <w:r>
        <w:separator/>
      </w:r>
    </w:p>
  </w:footnote>
  <w:footnote w:type="continuationSeparator" w:id="0">
    <w:p w:rsidR="00283E10" w:rsidRDefault="0028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B4004B">
      <w:rPr>
        <w:sz w:val="28"/>
        <w:szCs w:val="28"/>
        <w:u w:val="single"/>
      </w:rPr>
      <w:t>3074</w:t>
    </w:r>
    <w:r w:rsidR="00BC72FA" w:rsidRPr="00C77C62">
      <w:rPr>
        <w:sz w:val="28"/>
        <w:szCs w:val="28"/>
        <w:u w:val="single"/>
      </w:rPr>
      <w:t>-202</w:t>
    </w:r>
    <w:r w:rsidR="00B4004B">
      <w:rPr>
        <w:sz w:val="28"/>
        <w:szCs w:val="28"/>
        <w:u w:val="single"/>
      </w:rPr>
      <w:t>6</w:t>
    </w:r>
    <w:r w:rsidRPr="00C77C62">
      <w:rPr>
        <w:sz w:val="28"/>
        <w:u w:val="single"/>
      </w:rPr>
      <w:t xml:space="preserve">                          </w:t>
    </w:r>
  </w:p>
  <w:p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DF4E4B">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DF4E4B">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rsidR="00611FB0" w:rsidRPr="006805F8" w:rsidRDefault="00611FB0" w:rsidP="00EA5D05">
    <w:pPr>
      <w:spacing w:line="211" w:lineRule="auto"/>
      <w:rPr>
        <w:sz w:val="22"/>
      </w:rPr>
    </w:pPr>
  </w:p>
  <w:p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rsidR="00611FB0" w:rsidRPr="00B4004B" w:rsidRDefault="00B4004B" w:rsidP="00EA5D05">
    <w:pPr>
      <w:spacing w:line="211" w:lineRule="auto"/>
      <w:jc w:val="center"/>
      <w:rPr>
        <w:sz w:val="32"/>
        <w:szCs w:val="32"/>
        <w:u w:val="single"/>
      </w:rPr>
    </w:pPr>
    <w:r>
      <w:rPr>
        <w:sz w:val="32"/>
        <w:szCs w:val="32"/>
        <w:u w:val="single"/>
      </w:rPr>
      <w:t>Закрытого акционерного о</w:t>
    </w:r>
    <w:r w:rsidR="009D36D4" w:rsidRPr="009D36D4">
      <w:rPr>
        <w:sz w:val="32"/>
        <w:szCs w:val="32"/>
        <w:u w:val="single"/>
      </w:rPr>
      <w:t xml:space="preserve">бщества </w:t>
    </w:r>
    <w:r w:rsidR="0003490B" w:rsidRPr="00B4004B">
      <w:rPr>
        <w:sz w:val="32"/>
        <w:szCs w:val="32"/>
        <w:u w:val="single"/>
      </w:rPr>
      <w:t>"</w:t>
    </w:r>
    <w:r w:rsidRPr="00B4004B">
      <w:rPr>
        <w:sz w:val="32"/>
        <w:szCs w:val="32"/>
        <w:u w:val="single"/>
      </w:rPr>
      <w:t>АРЦФОРЕСТ</w:t>
    </w:r>
    <w:r w:rsidR="0003490B" w:rsidRPr="00B4004B">
      <w:rPr>
        <w:sz w:val="32"/>
        <w:szCs w:val="32"/>
        <w:u w:val="single"/>
      </w:rPr>
      <w:t>"</w:t>
    </w:r>
  </w:p>
  <w:p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rsidTr="00563CD1">
      <w:trPr>
        <w:trHeight w:val="272"/>
      </w:trPr>
      <w:tc>
        <w:tcPr>
          <w:tcW w:w="2127" w:type="dxa"/>
          <w:shd w:val="clear" w:color="auto" w:fill="auto"/>
        </w:tcPr>
        <w:p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611FB0" w:rsidRPr="00CD50F3" w:rsidRDefault="00611FB0" w:rsidP="0044533C">
          <w:pPr>
            <w:spacing w:line="192" w:lineRule="auto"/>
            <w:ind w:left="-17" w:right="-17"/>
            <w:jc w:val="center"/>
            <w:rPr>
              <w:sz w:val="17"/>
              <w:szCs w:val="17"/>
            </w:rPr>
          </w:pPr>
        </w:p>
      </w:tc>
      <w:tc>
        <w:tcPr>
          <w:tcW w:w="1702" w:type="dxa"/>
          <w:shd w:val="clear" w:color="auto" w:fill="auto"/>
        </w:tcPr>
        <w:p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190"/>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04B"/>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3688"/>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C7A42"/>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8682">
      <w:bodyDiv w:val="1"/>
      <w:marLeft w:val="0"/>
      <w:marRight w:val="0"/>
      <w:marTop w:val="0"/>
      <w:marBottom w:val="0"/>
      <w:divBdr>
        <w:top w:val="none" w:sz="0" w:space="0" w:color="auto"/>
        <w:left w:val="none" w:sz="0" w:space="0" w:color="auto"/>
        <w:bottom w:val="none" w:sz="0" w:space="0" w:color="auto"/>
        <w:right w:val="none" w:sz="0" w:space="0" w:color="auto"/>
      </w:divBdr>
    </w:div>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DD163-7E72-42E8-BA34-7EA5DA9B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44</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5</cp:revision>
  <cp:lastPrinted>2026-03-05T12:07:00Z</cp:lastPrinted>
  <dcterms:created xsi:type="dcterms:W3CDTF">2026-02-27T16:29:00Z</dcterms:created>
  <dcterms:modified xsi:type="dcterms:W3CDTF">2026-03-05T12:08:00Z</dcterms:modified>
</cp:coreProperties>
</file>